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86" w:rsidRPr="00360586" w:rsidRDefault="00360586" w:rsidP="00360586">
      <w:pPr>
        <w:tabs>
          <w:tab w:val="left" w:pos="2835"/>
          <w:tab w:val="left" w:pos="6521"/>
        </w:tabs>
        <w:snapToGrid w:val="0"/>
        <w:rPr>
          <w:rFonts w:ascii="黑体" w:eastAsia="黑体" w:hAnsi="方正小标宋_GBK" w:cs="方正小标宋_GBK"/>
          <w:kern w:val="0"/>
          <w:sz w:val="34"/>
          <w:szCs w:val="34"/>
        </w:rPr>
      </w:pPr>
      <w:bookmarkStart w:id="0" w:name="_GoBack"/>
      <w:bookmarkEnd w:id="0"/>
      <w:r w:rsidRPr="00360586">
        <w:rPr>
          <w:rFonts w:ascii="黑体" w:eastAsia="黑体" w:hAnsi="方正小标宋_GBK" w:cs="方正小标宋_GBK" w:hint="eastAsia"/>
          <w:kern w:val="0"/>
          <w:sz w:val="34"/>
          <w:szCs w:val="34"/>
        </w:rPr>
        <w:t>附件1</w:t>
      </w:r>
    </w:p>
    <w:p w:rsidR="00013FEF" w:rsidRDefault="00013FEF" w:rsidP="00360586">
      <w:pPr>
        <w:snapToGrid w:val="0"/>
        <w:jc w:val="center"/>
        <w:rPr>
          <w:rFonts w:ascii="方正小标宋_GBK" w:eastAsia="方正小标宋_GBK" w:hAnsi="Calibri" w:cs="Times New Roman"/>
          <w:sz w:val="44"/>
          <w:szCs w:val="44"/>
        </w:rPr>
      </w:pPr>
      <w:r w:rsidRPr="00013FEF">
        <w:rPr>
          <w:rFonts w:ascii="方正小标宋_GBK" w:eastAsia="方正小标宋_GBK" w:hAnsi="Calibri" w:cs="Times New Roman" w:hint="eastAsia"/>
          <w:sz w:val="44"/>
          <w:szCs w:val="44"/>
        </w:rPr>
        <w:t>和平区落实</w:t>
      </w:r>
      <w:proofErr w:type="gramStart"/>
      <w:r>
        <w:rPr>
          <w:rFonts w:ascii="方正小标宋_GBK" w:eastAsia="方正小标宋_GBK" w:hAnsi="Calibri" w:cs="Times New Roman" w:hint="eastAsia"/>
          <w:sz w:val="44"/>
          <w:szCs w:val="44"/>
        </w:rPr>
        <w:t>《</w:t>
      </w:r>
      <w:proofErr w:type="gramEnd"/>
      <w:r w:rsidRPr="00013FEF">
        <w:rPr>
          <w:rFonts w:ascii="方正小标宋_GBK" w:eastAsia="方正小标宋_GBK" w:hAnsi="Calibri" w:cs="Times New Roman" w:hint="eastAsia"/>
          <w:sz w:val="44"/>
          <w:szCs w:val="44"/>
        </w:rPr>
        <w:t>关于强化天津市“五一”假期期间新冠肺炎</w:t>
      </w:r>
    </w:p>
    <w:p w:rsidR="00360586" w:rsidRPr="00013FEF" w:rsidRDefault="00013FEF" w:rsidP="00360586">
      <w:pPr>
        <w:snapToGrid w:val="0"/>
        <w:jc w:val="center"/>
        <w:rPr>
          <w:rFonts w:ascii="方正小标宋_GBK" w:eastAsia="方正小标宋_GBK" w:hAnsi="方正小标宋_GBK" w:cs="方正小标宋_GBK"/>
          <w:kern w:val="0"/>
          <w:sz w:val="44"/>
          <w:szCs w:val="44"/>
        </w:rPr>
      </w:pPr>
      <w:r w:rsidRPr="00013FEF">
        <w:rPr>
          <w:rFonts w:ascii="方正小标宋_GBK" w:eastAsia="方正小标宋_GBK" w:hAnsi="Calibri" w:cs="Times New Roman" w:hint="eastAsia"/>
          <w:sz w:val="44"/>
          <w:szCs w:val="44"/>
        </w:rPr>
        <w:t>疫情防控工作的通知</w:t>
      </w:r>
      <w:proofErr w:type="gramStart"/>
      <w:r w:rsidRPr="00013FEF">
        <w:rPr>
          <w:rFonts w:ascii="方正小标宋_GBK" w:eastAsia="方正小标宋_GBK" w:hAnsi="Calibri" w:cs="Times New Roman" w:hint="eastAsia"/>
          <w:sz w:val="44"/>
          <w:szCs w:val="44"/>
        </w:rPr>
        <w:t>》</w:t>
      </w:r>
      <w:proofErr w:type="gramEnd"/>
      <w:r w:rsidRPr="00013FEF">
        <w:rPr>
          <w:rFonts w:ascii="方正小标宋_GBK" w:eastAsia="方正小标宋_GBK" w:hAnsi="Calibri" w:cs="Times New Roman" w:hint="eastAsia"/>
          <w:sz w:val="44"/>
          <w:szCs w:val="44"/>
        </w:rPr>
        <w:t>的任务清单</w:t>
      </w:r>
    </w:p>
    <w:tbl>
      <w:tblPr>
        <w:tblStyle w:val="a3"/>
        <w:tblW w:w="16221" w:type="dxa"/>
        <w:jc w:val="center"/>
        <w:tblLook w:val="04A0" w:firstRow="1" w:lastRow="0" w:firstColumn="1" w:lastColumn="0" w:noHBand="0" w:noVBand="1"/>
      </w:tblPr>
      <w:tblGrid>
        <w:gridCol w:w="1683"/>
        <w:gridCol w:w="2769"/>
        <w:gridCol w:w="7453"/>
        <w:gridCol w:w="2239"/>
        <w:gridCol w:w="2077"/>
      </w:tblGrid>
      <w:tr w:rsidR="00360586" w:rsidRPr="00A61337" w:rsidTr="00013FEF">
        <w:trPr>
          <w:trHeight w:val="792"/>
          <w:jc w:val="center"/>
        </w:trPr>
        <w:tc>
          <w:tcPr>
            <w:tcW w:w="1683" w:type="dxa"/>
            <w:vAlign w:val="center"/>
          </w:tcPr>
          <w:p w:rsidR="00360586" w:rsidRPr="00B2510E" w:rsidRDefault="00360586" w:rsidP="00B02453">
            <w:pPr>
              <w:spacing w:line="588" w:lineRule="exact"/>
              <w:jc w:val="center"/>
              <w:rPr>
                <w:rFonts w:ascii="黑体" w:eastAsia="黑体" w:hAnsi="黑体" w:cs="仿宋_GB2312"/>
                <w:sz w:val="28"/>
                <w:szCs w:val="28"/>
              </w:rPr>
            </w:pPr>
            <w:r w:rsidRPr="00B2510E">
              <w:rPr>
                <w:rFonts w:ascii="黑体" w:eastAsia="黑体" w:hAnsi="黑体" w:cs="仿宋_GB2312" w:hint="eastAsia"/>
                <w:sz w:val="28"/>
                <w:szCs w:val="28"/>
              </w:rPr>
              <w:t>重点任务</w:t>
            </w:r>
          </w:p>
        </w:tc>
        <w:tc>
          <w:tcPr>
            <w:tcW w:w="2769" w:type="dxa"/>
            <w:vAlign w:val="center"/>
          </w:tcPr>
          <w:p w:rsidR="00360586" w:rsidRPr="00B2510E" w:rsidRDefault="00360586" w:rsidP="00B02453">
            <w:pPr>
              <w:spacing w:line="588" w:lineRule="exact"/>
              <w:jc w:val="center"/>
              <w:rPr>
                <w:rFonts w:ascii="黑体" w:eastAsia="黑体" w:hAnsi="黑体" w:cs="仿宋_GB2312"/>
                <w:sz w:val="28"/>
                <w:szCs w:val="28"/>
              </w:rPr>
            </w:pPr>
            <w:r w:rsidRPr="00B2510E">
              <w:rPr>
                <w:rFonts w:ascii="黑体" w:eastAsia="黑体" w:hAnsi="黑体" w:cs="仿宋_GB2312" w:hint="eastAsia"/>
                <w:sz w:val="28"/>
                <w:szCs w:val="28"/>
              </w:rPr>
              <w:t>重点内容</w:t>
            </w:r>
          </w:p>
        </w:tc>
        <w:tc>
          <w:tcPr>
            <w:tcW w:w="7453" w:type="dxa"/>
            <w:vAlign w:val="center"/>
          </w:tcPr>
          <w:p w:rsidR="00360586" w:rsidRPr="00B2510E" w:rsidRDefault="00360586" w:rsidP="00B02453">
            <w:pPr>
              <w:spacing w:line="588" w:lineRule="exact"/>
              <w:jc w:val="center"/>
              <w:rPr>
                <w:rFonts w:ascii="黑体" w:eastAsia="黑体" w:hAnsi="黑体" w:cs="仿宋_GB2312"/>
                <w:sz w:val="28"/>
                <w:szCs w:val="28"/>
              </w:rPr>
            </w:pPr>
            <w:r w:rsidRPr="00B2510E">
              <w:rPr>
                <w:rFonts w:ascii="黑体" w:eastAsia="黑体" w:hAnsi="黑体" w:cs="仿宋_GB2312" w:hint="eastAsia"/>
                <w:sz w:val="28"/>
                <w:szCs w:val="28"/>
              </w:rPr>
              <w:t>具体要求</w:t>
            </w:r>
          </w:p>
        </w:tc>
        <w:tc>
          <w:tcPr>
            <w:tcW w:w="2239" w:type="dxa"/>
            <w:vAlign w:val="center"/>
          </w:tcPr>
          <w:p w:rsidR="00360586" w:rsidRDefault="00360586" w:rsidP="00B02453">
            <w:pPr>
              <w:spacing w:line="588" w:lineRule="exact"/>
              <w:jc w:val="center"/>
              <w:rPr>
                <w:rFonts w:ascii="黑体" w:eastAsia="黑体" w:hAnsi="黑体" w:cs="仿宋_GB2312"/>
                <w:sz w:val="28"/>
                <w:szCs w:val="28"/>
              </w:rPr>
            </w:pPr>
            <w:r>
              <w:rPr>
                <w:rFonts w:ascii="黑体" w:eastAsia="黑体" w:hAnsi="黑体" w:cs="仿宋_GB2312" w:hint="eastAsia"/>
                <w:sz w:val="28"/>
                <w:szCs w:val="28"/>
              </w:rPr>
              <w:t>牵头部门</w:t>
            </w:r>
          </w:p>
        </w:tc>
        <w:tc>
          <w:tcPr>
            <w:tcW w:w="2077" w:type="dxa"/>
            <w:vAlign w:val="center"/>
          </w:tcPr>
          <w:p w:rsidR="00360586" w:rsidRPr="00B2510E" w:rsidRDefault="00360586" w:rsidP="00B02453">
            <w:pPr>
              <w:spacing w:line="588" w:lineRule="exact"/>
              <w:jc w:val="center"/>
              <w:rPr>
                <w:rFonts w:ascii="黑体" w:eastAsia="黑体" w:hAnsi="黑体" w:cs="仿宋_GB2312"/>
                <w:sz w:val="28"/>
                <w:szCs w:val="28"/>
              </w:rPr>
            </w:pPr>
            <w:r>
              <w:rPr>
                <w:rFonts w:ascii="黑体" w:eastAsia="黑体" w:hAnsi="黑体" w:cs="仿宋_GB2312" w:hint="eastAsia"/>
                <w:sz w:val="28"/>
                <w:szCs w:val="28"/>
              </w:rPr>
              <w:t>责任单位</w:t>
            </w:r>
          </w:p>
        </w:tc>
      </w:tr>
      <w:tr w:rsidR="00360586" w:rsidRPr="00B2510E" w:rsidTr="00013FEF">
        <w:trPr>
          <w:trHeight w:val="1280"/>
          <w:jc w:val="center"/>
        </w:trPr>
        <w:tc>
          <w:tcPr>
            <w:tcW w:w="1683" w:type="dxa"/>
            <w:vMerge w:val="restart"/>
            <w:vAlign w:val="center"/>
          </w:tcPr>
          <w:p w:rsidR="00360586" w:rsidRPr="00B2510E" w:rsidRDefault="00360586" w:rsidP="00B02453">
            <w:pPr>
              <w:adjustRightInd w:val="0"/>
              <w:snapToGrid w:val="0"/>
              <w:rPr>
                <w:rFonts w:ascii="Calibri" w:eastAsia="黑体" w:hAnsi="Calibri" w:cs="仿宋_GB2312"/>
                <w:sz w:val="28"/>
                <w:szCs w:val="28"/>
              </w:rPr>
            </w:pPr>
            <w:r w:rsidRPr="00B2510E">
              <w:rPr>
                <w:rFonts w:eastAsia="黑体" w:cs="仿宋_GB2312" w:hint="eastAsia"/>
                <w:sz w:val="28"/>
                <w:szCs w:val="28"/>
              </w:rPr>
              <w:t>一、</w:t>
            </w:r>
            <w:r w:rsidRPr="00B2510E">
              <w:rPr>
                <w:rFonts w:ascii="Calibri" w:eastAsia="黑体" w:hAnsi="Calibri" w:cs="仿宋_GB2312" w:hint="eastAsia"/>
                <w:sz w:val="28"/>
                <w:szCs w:val="28"/>
              </w:rPr>
              <w:t>落实战时要求，强化主体责任</w:t>
            </w:r>
          </w:p>
          <w:p w:rsidR="00360586" w:rsidRPr="00B2510E" w:rsidRDefault="00360586" w:rsidP="00B02453">
            <w:pPr>
              <w:adjustRightInd w:val="0"/>
              <w:snapToGrid w:val="0"/>
              <w:rPr>
                <w:rFonts w:eastAsia="黑体" w:cs="仿宋_GB2312"/>
                <w:sz w:val="28"/>
                <w:szCs w:val="28"/>
              </w:rPr>
            </w:pPr>
          </w:p>
        </w:tc>
        <w:tc>
          <w:tcPr>
            <w:tcW w:w="2769" w:type="dxa"/>
            <w:vAlign w:val="center"/>
          </w:tcPr>
          <w:p w:rsidR="00360586" w:rsidRPr="00B2510E" w:rsidRDefault="00360586" w:rsidP="00B02453">
            <w:pPr>
              <w:adjustRightInd w:val="0"/>
              <w:snapToGrid w:val="0"/>
              <w:rPr>
                <w:rFonts w:ascii="楷体_GB2312" w:eastAsia="楷体_GB2312" w:hAnsi="楷体_GB2312" w:cs="楷体_GB2312"/>
                <w:sz w:val="28"/>
                <w:szCs w:val="28"/>
              </w:rPr>
            </w:pPr>
            <w:r w:rsidRPr="00B2510E">
              <w:rPr>
                <w:rFonts w:eastAsia="楷体_GB2312" w:cs="仿宋_GB2312" w:hint="eastAsia"/>
                <w:sz w:val="28"/>
                <w:szCs w:val="28"/>
              </w:rPr>
              <w:t>1.</w:t>
            </w:r>
            <w:r w:rsidRPr="00B2510E">
              <w:rPr>
                <w:rFonts w:ascii="Calibri" w:eastAsia="楷体_GB2312" w:hAnsi="Calibri" w:cs="仿宋_GB2312" w:hint="eastAsia"/>
                <w:sz w:val="28"/>
                <w:szCs w:val="28"/>
              </w:rPr>
              <w:t>全面强化战时响应</w:t>
            </w:r>
          </w:p>
        </w:tc>
        <w:tc>
          <w:tcPr>
            <w:tcW w:w="7453" w:type="dxa"/>
            <w:vAlign w:val="center"/>
          </w:tcPr>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Calibri" w:eastAsia="仿宋_GB2312" w:hAnsi="Calibri" w:cs="仿宋_GB2312" w:hint="eastAsia"/>
                <w:sz w:val="26"/>
                <w:szCs w:val="26"/>
              </w:rPr>
              <w:t>要做好疫情防控挑战严峻的思想准备和工作准备，持续保持战时状态，落实战时机制，树立战时思维，采取战时方法，坚决防止疫情反弹。</w:t>
            </w:r>
          </w:p>
        </w:tc>
        <w:tc>
          <w:tcPr>
            <w:tcW w:w="2239" w:type="dxa"/>
            <w:vAlign w:val="center"/>
          </w:tcPr>
          <w:p w:rsidR="00360586" w:rsidRDefault="00360586" w:rsidP="00B02453">
            <w:pPr>
              <w:adjustRightInd w:val="0"/>
              <w:snapToGrid w:val="0"/>
              <w:jc w:val="center"/>
              <w:rPr>
                <w:rFonts w:eastAsia="仿宋_GB2312" w:cs="仿宋_GB2312"/>
                <w:sz w:val="26"/>
                <w:szCs w:val="26"/>
              </w:rPr>
            </w:pPr>
            <w:r>
              <w:rPr>
                <w:rFonts w:eastAsia="仿宋_GB2312" w:cs="仿宋_GB2312" w:hint="eastAsia"/>
                <w:sz w:val="26"/>
                <w:szCs w:val="26"/>
              </w:rPr>
              <w:t>区委办公室</w:t>
            </w:r>
          </w:p>
          <w:p w:rsidR="00360586" w:rsidRDefault="00360586" w:rsidP="00B02453">
            <w:pPr>
              <w:adjustRightInd w:val="0"/>
              <w:snapToGrid w:val="0"/>
              <w:jc w:val="center"/>
              <w:rPr>
                <w:rFonts w:eastAsia="仿宋_GB2312" w:cs="仿宋_GB2312"/>
                <w:sz w:val="26"/>
                <w:szCs w:val="26"/>
              </w:rPr>
            </w:pPr>
            <w:r>
              <w:rPr>
                <w:rFonts w:eastAsia="仿宋_GB2312" w:cs="仿宋_GB2312" w:hint="eastAsia"/>
                <w:sz w:val="26"/>
                <w:szCs w:val="26"/>
              </w:rPr>
              <w:t>区政府办公室</w:t>
            </w:r>
          </w:p>
          <w:p w:rsidR="00360586" w:rsidRPr="009C7A4D" w:rsidRDefault="00360586" w:rsidP="00B02453">
            <w:pPr>
              <w:adjustRightInd w:val="0"/>
              <w:snapToGrid w:val="0"/>
              <w:jc w:val="center"/>
              <w:rPr>
                <w:rFonts w:eastAsia="仿宋_GB2312" w:cs="仿宋_GB2312"/>
                <w:sz w:val="26"/>
                <w:szCs w:val="26"/>
              </w:rPr>
            </w:pPr>
            <w:r>
              <w:rPr>
                <w:rFonts w:eastAsia="仿宋_GB2312" w:cs="仿宋_GB2312" w:hint="eastAsia"/>
                <w:sz w:val="26"/>
                <w:szCs w:val="26"/>
              </w:rPr>
              <w:t>区指挥部办公室</w:t>
            </w:r>
          </w:p>
        </w:tc>
        <w:tc>
          <w:tcPr>
            <w:tcW w:w="2077" w:type="dxa"/>
            <w:vAlign w:val="center"/>
          </w:tcPr>
          <w:p w:rsidR="00360586" w:rsidRDefault="00360586" w:rsidP="00B02453">
            <w:pPr>
              <w:adjustRightInd w:val="0"/>
              <w:snapToGrid w:val="0"/>
              <w:jc w:val="center"/>
              <w:rPr>
                <w:rFonts w:ascii="Calibri" w:eastAsia="仿宋_GB2312" w:hAnsi="Calibri" w:cs="仿宋_GB2312"/>
                <w:sz w:val="26"/>
                <w:szCs w:val="26"/>
              </w:rPr>
            </w:pPr>
            <w:r w:rsidRPr="009C7A4D">
              <w:rPr>
                <w:rFonts w:eastAsia="仿宋_GB2312" w:cs="仿宋_GB2312" w:hint="eastAsia"/>
                <w:sz w:val="26"/>
                <w:szCs w:val="26"/>
              </w:rPr>
              <w:t>全区</w:t>
            </w:r>
            <w:r w:rsidRPr="009C7A4D">
              <w:rPr>
                <w:rFonts w:ascii="Calibri" w:eastAsia="仿宋_GB2312" w:hAnsi="Calibri" w:cs="仿宋_GB2312" w:hint="eastAsia"/>
                <w:sz w:val="26"/>
                <w:szCs w:val="26"/>
              </w:rPr>
              <w:t>各部门</w:t>
            </w:r>
          </w:p>
          <w:p w:rsidR="00360586" w:rsidRPr="009C7A4D" w:rsidRDefault="00360586" w:rsidP="00B02453">
            <w:pPr>
              <w:adjustRightInd w:val="0"/>
              <w:snapToGrid w:val="0"/>
              <w:jc w:val="center"/>
              <w:rPr>
                <w:rFonts w:ascii="仿宋_GB2312" w:eastAsia="仿宋_GB2312" w:hAnsi="仿宋_GB2312" w:cs="仿宋_GB2312"/>
                <w:sz w:val="26"/>
                <w:szCs w:val="26"/>
              </w:rPr>
            </w:pPr>
            <w:r w:rsidRPr="009C7A4D">
              <w:rPr>
                <w:rFonts w:ascii="Calibri" w:eastAsia="仿宋_GB2312" w:hAnsi="Calibri" w:cs="仿宋_GB2312" w:hint="eastAsia"/>
                <w:sz w:val="26"/>
                <w:szCs w:val="26"/>
              </w:rPr>
              <w:t>各单位</w:t>
            </w:r>
          </w:p>
        </w:tc>
      </w:tr>
      <w:tr w:rsidR="00360586" w:rsidRPr="00B2510E" w:rsidTr="00013FEF">
        <w:trPr>
          <w:trHeight w:val="1850"/>
          <w:jc w:val="center"/>
        </w:trPr>
        <w:tc>
          <w:tcPr>
            <w:tcW w:w="1683" w:type="dxa"/>
            <w:vMerge/>
            <w:vAlign w:val="center"/>
          </w:tcPr>
          <w:p w:rsidR="00360586" w:rsidRPr="00B2510E" w:rsidRDefault="00360586" w:rsidP="00B02453">
            <w:pPr>
              <w:adjustRightInd w:val="0"/>
              <w:snapToGrid w:val="0"/>
              <w:rPr>
                <w:rFonts w:eastAsia="黑体" w:cs="仿宋_GB2312"/>
                <w:sz w:val="28"/>
                <w:szCs w:val="28"/>
              </w:rPr>
            </w:pPr>
          </w:p>
        </w:tc>
        <w:tc>
          <w:tcPr>
            <w:tcW w:w="2769" w:type="dxa"/>
            <w:vAlign w:val="center"/>
          </w:tcPr>
          <w:p w:rsidR="00360586" w:rsidRPr="00B2510E" w:rsidRDefault="00360586" w:rsidP="00B02453">
            <w:pPr>
              <w:adjustRightInd w:val="0"/>
              <w:snapToGrid w:val="0"/>
              <w:rPr>
                <w:rFonts w:ascii="楷体_GB2312" w:eastAsia="楷体_GB2312" w:hAnsi="楷体_GB2312" w:cs="楷体_GB2312"/>
                <w:sz w:val="28"/>
                <w:szCs w:val="28"/>
              </w:rPr>
            </w:pPr>
            <w:r w:rsidRPr="00B2510E">
              <w:rPr>
                <w:rFonts w:eastAsia="楷体_GB2312" w:cs="仿宋_GB2312" w:hint="eastAsia"/>
                <w:sz w:val="28"/>
                <w:szCs w:val="28"/>
              </w:rPr>
              <w:t>2.</w:t>
            </w:r>
            <w:r w:rsidRPr="00B2510E">
              <w:rPr>
                <w:rFonts w:ascii="Calibri" w:eastAsia="楷体_GB2312" w:hAnsi="Calibri" w:cs="仿宋_GB2312" w:hint="eastAsia"/>
                <w:sz w:val="28"/>
                <w:szCs w:val="28"/>
              </w:rPr>
              <w:t>落实</w:t>
            </w:r>
            <w:proofErr w:type="gramStart"/>
            <w:r w:rsidRPr="00B2510E">
              <w:rPr>
                <w:rFonts w:ascii="Calibri" w:eastAsia="楷体_GB2312" w:hAnsi="Calibri" w:cs="仿宋_GB2312" w:hint="eastAsia"/>
                <w:sz w:val="28"/>
                <w:szCs w:val="28"/>
              </w:rPr>
              <w:t>落细各项</w:t>
            </w:r>
            <w:proofErr w:type="gramEnd"/>
            <w:r w:rsidRPr="00B2510E">
              <w:rPr>
                <w:rFonts w:ascii="Calibri" w:eastAsia="楷体_GB2312" w:hAnsi="Calibri" w:cs="仿宋_GB2312" w:hint="eastAsia"/>
                <w:sz w:val="28"/>
                <w:szCs w:val="28"/>
              </w:rPr>
              <w:t>防控措施</w:t>
            </w:r>
          </w:p>
        </w:tc>
        <w:tc>
          <w:tcPr>
            <w:tcW w:w="7453" w:type="dxa"/>
            <w:vAlign w:val="center"/>
          </w:tcPr>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Calibri" w:eastAsia="仿宋_GB2312" w:hAnsi="Calibri" w:cs="仿宋_GB2312" w:hint="eastAsia"/>
                <w:sz w:val="26"/>
                <w:szCs w:val="26"/>
              </w:rPr>
              <w:t>要发挥党组织核心作用，精准分析“五一”假期疫情风险点，不容丝毫松懈，加强应急值守，主要领导同志要靠前指挥，在常态化疫情防控下，抓实抓细“五一”期间疫情防控工作。</w:t>
            </w:r>
          </w:p>
        </w:tc>
        <w:tc>
          <w:tcPr>
            <w:tcW w:w="2239" w:type="dxa"/>
            <w:vAlign w:val="center"/>
          </w:tcPr>
          <w:p w:rsidR="00360586" w:rsidRDefault="00360586" w:rsidP="00B02453">
            <w:pPr>
              <w:adjustRightInd w:val="0"/>
              <w:snapToGrid w:val="0"/>
              <w:jc w:val="center"/>
              <w:rPr>
                <w:rFonts w:eastAsia="仿宋_GB2312" w:cs="仿宋_GB2312"/>
                <w:sz w:val="26"/>
                <w:szCs w:val="26"/>
              </w:rPr>
            </w:pPr>
            <w:r>
              <w:rPr>
                <w:rFonts w:eastAsia="仿宋_GB2312" w:cs="仿宋_GB2312" w:hint="eastAsia"/>
                <w:sz w:val="26"/>
                <w:szCs w:val="26"/>
              </w:rPr>
              <w:t>区委办公室</w:t>
            </w:r>
          </w:p>
          <w:p w:rsidR="00360586" w:rsidRDefault="00360586" w:rsidP="00B02453">
            <w:pPr>
              <w:adjustRightInd w:val="0"/>
              <w:snapToGrid w:val="0"/>
              <w:jc w:val="center"/>
              <w:rPr>
                <w:rFonts w:eastAsia="仿宋_GB2312" w:cs="仿宋_GB2312"/>
                <w:sz w:val="26"/>
                <w:szCs w:val="26"/>
              </w:rPr>
            </w:pPr>
            <w:r>
              <w:rPr>
                <w:rFonts w:eastAsia="仿宋_GB2312" w:cs="仿宋_GB2312" w:hint="eastAsia"/>
                <w:sz w:val="26"/>
                <w:szCs w:val="26"/>
              </w:rPr>
              <w:t>区政府办公室</w:t>
            </w:r>
          </w:p>
          <w:p w:rsidR="00360586" w:rsidRPr="009C7A4D" w:rsidRDefault="00360586" w:rsidP="00B02453">
            <w:pPr>
              <w:adjustRightInd w:val="0"/>
              <w:snapToGrid w:val="0"/>
              <w:jc w:val="center"/>
              <w:rPr>
                <w:rFonts w:eastAsia="仿宋_GB2312" w:cs="仿宋_GB2312"/>
                <w:sz w:val="26"/>
                <w:szCs w:val="26"/>
              </w:rPr>
            </w:pPr>
            <w:r>
              <w:rPr>
                <w:rFonts w:eastAsia="仿宋_GB2312" w:cs="仿宋_GB2312" w:hint="eastAsia"/>
                <w:sz w:val="26"/>
                <w:szCs w:val="26"/>
              </w:rPr>
              <w:t>区指挥部办公室</w:t>
            </w:r>
          </w:p>
        </w:tc>
        <w:tc>
          <w:tcPr>
            <w:tcW w:w="2077" w:type="dxa"/>
            <w:vAlign w:val="center"/>
          </w:tcPr>
          <w:p w:rsidR="00360586" w:rsidRDefault="00360586" w:rsidP="00B02453">
            <w:pPr>
              <w:adjustRightInd w:val="0"/>
              <w:snapToGrid w:val="0"/>
              <w:jc w:val="center"/>
              <w:rPr>
                <w:rFonts w:ascii="Calibri" w:eastAsia="仿宋_GB2312" w:hAnsi="Calibri" w:cs="仿宋_GB2312"/>
                <w:sz w:val="26"/>
                <w:szCs w:val="26"/>
              </w:rPr>
            </w:pPr>
            <w:r w:rsidRPr="009C7A4D">
              <w:rPr>
                <w:rFonts w:eastAsia="仿宋_GB2312" w:cs="仿宋_GB2312" w:hint="eastAsia"/>
                <w:sz w:val="26"/>
                <w:szCs w:val="26"/>
              </w:rPr>
              <w:t>全区</w:t>
            </w:r>
            <w:r w:rsidRPr="009C7A4D">
              <w:rPr>
                <w:rFonts w:ascii="Calibri" w:eastAsia="仿宋_GB2312" w:hAnsi="Calibri" w:cs="仿宋_GB2312" w:hint="eastAsia"/>
                <w:sz w:val="26"/>
                <w:szCs w:val="26"/>
              </w:rPr>
              <w:t>各部门</w:t>
            </w:r>
          </w:p>
          <w:p w:rsidR="00360586" w:rsidRPr="009C7A4D" w:rsidRDefault="00360586" w:rsidP="00B02453">
            <w:pPr>
              <w:adjustRightInd w:val="0"/>
              <w:snapToGrid w:val="0"/>
              <w:jc w:val="center"/>
              <w:rPr>
                <w:rFonts w:ascii="仿宋_GB2312" w:eastAsia="仿宋_GB2312" w:hAnsi="仿宋_GB2312" w:cs="仿宋_GB2312"/>
                <w:sz w:val="26"/>
                <w:szCs w:val="26"/>
              </w:rPr>
            </w:pPr>
            <w:r w:rsidRPr="009C7A4D">
              <w:rPr>
                <w:rFonts w:ascii="Calibri" w:eastAsia="仿宋_GB2312" w:hAnsi="Calibri" w:cs="仿宋_GB2312" w:hint="eastAsia"/>
                <w:sz w:val="26"/>
                <w:szCs w:val="26"/>
              </w:rPr>
              <w:t>各单位</w:t>
            </w:r>
          </w:p>
        </w:tc>
      </w:tr>
      <w:tr w:rsidR="00360586" w:rsidRPr="00DC476F" w:rsidTr="00013FEF">
        <w:trPr>
          <w:trHeight w:val="1803"/>
          <w:jc w:val="center"/>
        </w:trPr>
        <w:tc>
          <w:tcPr>
            <w:tcW w:w="1683" w:type="dxa"/>
            <w:vMerge/>
            <w:vAlign w:val="center"/>
          </w:tcPr>
          <w:p w:rsidR="00360586" w:rsidRPr="00B2510E" w:rsidRDefault="00360586" w:rsidP="00B02453">
            <w:pPr>
              <w:adjustRightInd w:val="0"/>
              <w:snapToGrid w:val="0"/>
              <w:rPr>
                <w:rFonts w:eastAsia="黑体" w:cs="仿宋_GB2312"/>
                <w:sz w:val="28"/>
                <w:szCs w:val="28"/>
              </w:rPr>
            </w:pPr>
          </w:p>
        </w:tc>
        <w:tc>
          <w:tcPr>
            <w:tcW w:w="2769" w:type="dxa"/>
            <w:vAlign w:val="center"/>
          </w:tcPr>
          <w:p w:rsidR="00360586" w:rsidRPr="00B2510E" w:rsidRDefault="00360586" w:rsidP="00B02453">
            <w:pPr>
              <w:adjustRightInd w:val="0"/>
              <w:snapToGrid w:val="0"/>
              <w:rPr>
                <w:rFonts w:ascii="楷体_GB2312" w:eastAsia="楷体_GB2312" w:hAnsi="楷体_GB2312" w:cs="楷体_GB2312"/>
                <w:sz w:val="28"/>
                <w:szCs w:val="28"/>
              </w:rPr>
            </w:pPr>
            <w:r w:rsidRPr="00B2510E">
              <w:rPr>
                <w:rFonts w:eastAsia="楷体_GB2312" w:cs="仿宋_GB2312" w:hint="eastAsia"/>
                <w:sz w:val="28"/>
                <w:szCs w:val="28"/>
              </w:rPr>
              <w:t>3.</w:t>
            </w:r>
            <w:r w:rsidRPr="00B2510E">
              <w:rPr>
                <w:rFonts w:ascii="Calibri" w:eastAsia="楷体_GB2312" w:hAnsi="Calibri" w:cs="仿宋_GB2312" w:hint="eastAsia"/>
                <w:sz w:val="28"/>
                <w:szCs w:val="28"/>
              </w:rPr>
              <w:t>压紧压实各方责任</w:t>
            </w:r>
          </w:p>
        </w:tc>
        <w:tc>
          <w:tcPr>
            <w:tcW w:w="7453" w:type="dxa"/>
            <w:vAlign w:val="center"/>
          </w:tcPr>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Calibri" w:eastAsia="仿宋_GB2312" w:hAnsi="Calibri" w:cs="仿宋_GB2312" w:hint="eastAsia"/>
                <w:sz w:val="26"/>
                <w:szCs w:val="26"/>
              </w:rPr>
              <w:t>要明确“属地、部门、单位、个人”四方责任，统筹安排部署，强化底线思维，认真查摆漏洞风险，加固薄弱环节，重点强化公共场所、游览景区等主体责任和行业监管责任，确保责任落实到位。</w:t>
            </w:r>
          </w:p>
        </w:tc>
        <w:tc>
          <w:tcPr>
            <w:tcW w:w="2239" w:type="dxa"/>
            <w:vAlign w:val="center"/>
          </w:tcPr>
          <w:p w:rsidR="00360586" w:rsidRPr="00640489" w:rsidRDefault="00360586" w:rsidP="00B02453">
            <w:pPr>
              <w:adjustRightInd w:val="0"/>
              <w:snapToGrid w:val="0"/>
              <w:jc w:val="center"/>
              <w:rPr>
                <w:rFonts w:eastAsia="仿宋_GB2312" w:cs="仿宋_GB2312"/>
                <w:sz w:val="26"/>
                <w:szCs w:val="26"/>
              </w:rPr>
            </w:pPr>
            <w:r>
              <w:rPr>
                <w:rFonts w:eastAsia="仿宋_GB2312" w:cs="仿宋_GB2312" w:hint="eastAsia"/>
                <w:sz w:val="26"/>
                <w:szCs w:val="26"/>
              </w:rPr>
              <w:t>区指挥部办公室</w:t>
            </w:r>
          </w:p>
        </w:tc>
        <w:tc>
          <w:tcPr>
            <w:tcW w:w="2077" w:type="dxa"/>
            <w:vAlign w:val="center"/>
          </w:tcPr>
          <w:p w:rsidR="00360586" w:rsidRDefault="00360586" w:rsidP="00B02453">
            <w:pPr>
              <w:adjustRightInd w:val="0"/>
              <w:snapToGrid w:val="0"/>
              <w:jc w:val="center"/>
              <w:rPr>
                <w:rFonts w:ascii="Calibri" w:eastAsia="仿宋_GB2312" w:hAnsi="Calibri" w:cs="仿宋_GB2312"/>
                <w:sz w:val="26"/>
                <w:szCs w:val="26"/>
              </w:rPr>
            </w:pPr>
            <w:r w:rsidRPr="00DC476F">
              <w:rPr>
                <w:rFonts w:ascii="Calibri" w:eastAsia="仿宋_GB2312" w:hAnsi="Calibri" w:cs="仿宋_GB2312" w:hint="eastAsia"/>
                <w:sz w:val="26"/>
                <w:szCs w:val="26"/>
              </w:rPr>
              <w:t>全区</w:t>
            </w:r>
            <w:r w:rsidRPr="009C7A4D">
              <w:rPr>
                <w:rFonts w:ascii="Calibri" w:eastAsia="仿宋_GB2312" w:hAnsi="Calibri" w:cs="仿宋_GB2312" w:hint="eastAsia"/>
                <w:sz w:val="26"/>
                <w:szCs w:val="26"/>
              </w:rPr>
              <w:t>各部门</w:t>
            </w:r>
          </w:p>
          <w:p w:rsidR="00360586" w:rsidRPr="00DC476F" w:rsidRDefault="00360586" w:rsidP="00B02453">
            <w:pPr>
              <w:adjustRightInd w:val="0"/>
              <w:snapToGrid w:val="0"/>
              <w:jc w:val="center"/>
              <w:rPr>
                <w:rFonts w:ascii="Calibri" w:eastAsia="仿宋_GB2312" w:hAnsi="Calibri" w:cs="仿宋_GB2312"/>
                <w:sz w:val="26"/>
                <w:szCs w:val="26"/>
              </w:rPr>
            </w:pPr>
            <w:r w:rsidRPr="009C7A4D">
              <w:rPr>
                <w:rFonts w:ascii="Calibri" w:eastAsia="仿宋_GB2312" w:hAnsi="Calibri" w:cs="仿宋_GB2312" w:hint="eastAsia"/>
                <w:sz w:val="26"/>
                <w:szCs w:val="26"/>
              </w:rPr>
              <w:t>各单位</w:t>
            </w:r>
          </w:p>
        </w:tc>
      </w:tr>
      <w:tr w:rsidR="00360586" w:rsidRPr="00B2510E" w:rsidTr="00013FEF">
        <w:trPr>
          <w:trHeight w:val="1350"/>
          <w:jc w:val="center"/>
        </w:trPr>
        <w:tc>
          <w:tcPr>
            <w:tcW w:w="1683" w:type="dxa"/>
            <w:vMerge w:val="restart"/>
            <w:vAlign w:val="center"/>
          </w:tcPr>
          <w:p w:rsidR="00360586" w:rsidRPr="00B2510E" w:rsidRDefault="00360586" w:rsidP="00B02453">
            <w:pPr>
              <w:adjustRightInd w:val="0"/>
              <w:snapToGrid w:val="0"/>
              <w:rPr>
                <w:rFonts w:ascii="仿宋_GB2312" w:eastAsia="仿宋_GB2312" w:hAnsiTheme="minorEastAsia" w:cstheme="minorEastAsia"/>
                <w:sz w:val="28"/>
                <w:szCs w:val="28"/>
              </w:rPr>
            </w:pPr>
            <w:r w:rsidRPr="00B2510E">
              <w:rPr>
                <w:rFonts w:eastAsia="黑体" w:cs="仿宋_GB2312" w:hint="eastAsia"/>
                <w:sz w:val="28"/>
                <w:szCs w:val="28"/>
              </w:rPr>
              <w:lastRenderedPageBreak/>
              <w:t>二、强化重点人员管理</w:t>
            </w:r>
          </w:p>
        </w:tc>
        <w:tc>
          <w:tcPr>
            <w:tcW w:w="2769" w:type="dxa"/>
            <w:vAlign w:val="center"/>
          </w:tcPr>
          <w:p w:rsidR="00360586" w:rsidRPr="00B2510E" w:rsidRDefault="00360586" w:rsidP="00B02453">
            <w:pPr>
              <w:adjustRightInd w:val="0"/>
              <w:snapToGrid w:val="0"/>
              <w:rPr>
                <w:rFonts w:ascii="楷体_GB2312" w:eastAsia="楷体_GB2312" w:hAnsi="楷体_GB2312" w:cs="楷体_GB2312"/>
                <w:sz w:val="28"/>
                <w:szCs w:val="28"/>
              </w:rPr>
            </w:pPr>
            <w:r w:rsidRPr="00B2510E">
              <w:rPr>
                <w:rFonts w:ascii="楷体_GB2312" w:eastAsia="楷体_GB2312" w:hAnsi="楷体_GB2312" w:cs="楷体_GB2312" w:hint="eastAsia"/>
                <w:sz w:val="28"/>
                <w:szCs w:val="28"/>
              </w:rPr>
              <w:t>4.强化场所服务人员管理</w:t>
            </w:r>
          </w:p>
        </w:tc>
        <w:tc>
          <w:tcPr>
            <w:tcW w:w="7453" w:type="dxa"/>
            <w:vAlign w:val="center"/>
          </w:tcPr>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（1）做好员工自身防护和日常管理，做到</w:t>
            </w:r>
            <w:proofErr w:type="gramStart"/>
            <w:r w:rsidRPr="00401F6C">
              <w:rPr>
                <w:rFonts w:ascii="仿宋_GB2312" w:eastAsia="仿宋_GB2312" w:hAnsi="仿宋_GB2312" w:cs="仿宋_GB2312" w:hint="eastAsia"/>
                <w:sz w:val="26"/>
                <w:szCs w:val="26"/>
              </w:rPr>
              <w:t>不</w:t>
            </w:r>
            <w:proofErr w:type="gramEnd"/>
            <w:r w:rsidRPr="00401F6C">
              <w:rPr>
                <w:rFonts w:ascii="仿宋_GB2312" w:eastAsia="仿宋_GB2312" w:hAnsi="仿宋_GB2312" w:cs="仿宋_GB2312" w:hint="eastAsia"/>
                <w:sz w:val="26"/>
                <w:szCs w:val="26"/>
              </w:rPr>
              <w:t>扎堆聊天、不相互串岗，减少人员聚集活动。</w:t>
            </w:r>
          </w:p>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（2）员工上岗前须进行体温检测，并记录台账，必须佩戴口罩上岗。</w:t>
            </w:r>
          </w:p>
        </w:tc>
        <w:tc>
          <w:tcPr>
            <w:tcW w:w="2239" w:type="dxa"/>
            <w:vAlign w:val="center"/>
          </w:tcPr>
          <w:p w:rsidR="00360586" w:rsidRPr="009C7A4D" w:rsidRDefault="00360586" w:rsidP="00B02453">
            <w:pPr>
              <w:adjustRightInd w:val="0"/>
              <w:snapToGrid w:val="0"/>
              <w:jc w:val="center"/>
              <w:rPr>
                <w:rFonts w:ascii="仿宋_GB2312" w:eastAsia="仿宋_GB2312" w:hAnsi="仿宋_GB2312" w:cs="仿宋_GB2312"/>
                <w:sz w:val="26"/>
                <w:szCs w:val="26"/>
              </w:rPr>
            </w:pPr>
            <w:proofErr w:type="gramStart"/>
            <w:r w:rsidRPr="009C7A4D">
              <w:rPr>
                <w:rFonts w:ascii="仿宋_GB2312" w:eastAsia="仿宋_GB2312" w:hAnsi="仿宋_GB2312" w:cs="仿宋_GB2312" w:hint="eastAsia"/>
                <w:sz w:val="26"/>
                <w:szCs w:val="26"/>
              </w:rPr>
              <w:t>区发改委</w:t>
            </w:r>
            <w:proofErr w:type="gramEnd"/>
          </w:p>
        </w:tc>
        <w:tc>
          <w:tcPr>
            <w:tcW w:w="2077" w:type="dxa"/>
            <w:vAlign w:val="center"/>
          </w:tcPr>
          <w:p w:rsidR="00360586" w:rsidRPr="009C7A4D" w:rsidRDefault="00360586" w:rsidP="00B02453">
            <w:pPr>
              <w:adjustRightInd w:val="0"/>
              <w:snapToGrid w:val="0"/>
              <w:jc w:val="center"/>
              <w:rPr>
                <w:rFonts w:ascii="仿宋_GB2312" w:eastAsia="仿宋_GB2312" w:hAnsi="仿宋_GB2312" w:cs="仿宋_GB2312"/>
                <w:sz w:val="26"/>
                <w:szCs w:val="26"/>
              </w:rPr>
            </w:pPr>
            <w:r>
              <w:rPr>
                <w:rFonts w:ascii="仿宋_GB2312" w:eastAsia="仿宋_GB2312" w:hAnsi="仿宋_GB2312" w:cs="仿宋_GB2312" w:hint="eastAsia"/>
                <w:sz w:val="26"/>
                <w:szCs w:val="26"/>
              </w:rPr>
              <w:t>区复工复产专班成员单位</w:t>
            </w:r>
          </w:p>
        </w:tc>
      </w:tr>
      <w:tr w:rsidR="00360586" w:rsidRPr="00B2510E" w:rsidTr="00013FEF">
        <w:trPr>
          <w:trHeight w:val="91"/>
          <w:jc w:val="center"/>
        </w:trPr>
        <w:tc>
          <w:tcPr>
            <w:tcW w:w="1683" w:type="dxa"/>
            <w:vMerge/>
            <w:vAlign w:val="center"/>
          </w:tcPr>
          <w:p w:rsidR="00360586" w:rsidRPr="00B2510E" w:rsidRDefault="00360586" w:rsidP="00B02453">
            <w:pPr>
              <w:adjustRightInd w:val="0"/>
              <w:snapToGrid w:val="0"/>
              <w:rPr>
                <w:rFonts w:ascii="仿宋_GB2312" w:eastAsia="仿宋_GB2312" w:hAnsiTheme="minorEastAsia" w:cstheme="minorEastAsia"/>
                <w:sz w:val="28"/>
                <w:szCs w:val="28"/>
              </w:rPr>
            </w:pPr>
          </w:p>
        </w:tc>
        <w:tc>
          <w:tcPr>
            <w:tcW w:w="2769" w:type="dxa"/>
            <w:vAlign w:val="center"/>
          </w:tcPr>
          <w:p w:rsidR="00360586" w:rsidRPr="00B2510E" w:rsidRDefault="00360586" w:rsidP="00B02453">
            <w:pPr>
              <w:adjustRightInd w:val="0"/>
              <w:snapToGrid w:val="0"/>
              <w:rPr>
                <w:rFonts w:ascii="楷体_GB2312" w:eastAsia="楷体_GB2312" w:hAnsi="楷体_GB2312" w:cs="楷体_GB2312"/>
                <w:sz w:val="28"/>
                <w:szCs w:val="28"/>
              </w:rPr>
            </w:pPr>
            <w:r w:rsidRPr="00B2510E">
              <w:rPr>
                <w:rFonts w:ascii="楷体_GB2312" w:eastAsia="楷体_GB2312" w:hAnsi="楷体_GB2312" w:cs="楷体_GB2312" w:hint="eastAsia"/>
                <w:sz w:val="28"/>
                <w:szCs w:val="28"/>
              </w:rPr>
              <w:t>5.强化顾客游客管理</w:t>
            </w:r>
          </w:p>
        </w:tc>
        <w:tc>
          <w:tcPr>
            <w:tcW w:w="7453" w:type="dxa"/>
            <w:vAlign w:val="center"/>
          </w:tcPr>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（1）做好体温检测、查验天津“健康码”、进行“津门战</w:t>
            </w:r>
            <w:proofErr w:type="gramStart"/>
            <w:r w:rsidRPr="00401F6C">
              <w:rPr>
                <w:rFonts w:ascii="仿宋_GB2312" w:eastAsia="仿宋_GB2312" w:hAnsi="仿宋_GB2312" w:cs="仿宋_GB2312" w:hint="eastAsia"/>
                <w:sz w:val="26"/>
                <w:szCs w:val="26"/>
              </w:rPr>
              <w:t>疫</w:t>
            </w:r>
            <w:proofErr w:type="gramEnd"/>
            <w:r w:rsidRPr="00401F6C">
              <w:rPr>
                <w:rFonts w:ascii="仿宋_GB2312" w:eastAsia="仿宋_GB2312" w:hAnsi="仿宋_GB2312" w:cs="仿宋_GB2312" w:hint="eastAsia"/>
                <w:sz w:val="26"/>
                <w:szCs w:val="26"/>
              </w:rPr>
              <w:t>”扫码。</w:t>
            </w:r>
          </w:p>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（2）体温正常、持天津健康码“绿码”的人员，方可进入公共场所或游览景区等。</w:t>
            </w:r>
          </w:p>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（3）近14天内具有武汉旅行居住史人员，体温正常、持天津健康码“绿码”且须出具抵津前7日内或在津新冠病毒核酸检测阴性证明方可进入。</w:t>
            </w:r>
          </w:p>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（4）进出人员必须佩带口罩。</w:t>
            </w:r>
          </w:p>
        </w:tc>
        <w:tc>
          <w:tcPr>
            <w:tcW w:w="2239" w:type="dxa"/>
            <w:vAlign w:val="center"/>
          </w:tcPr>
          <w:p w:rsidR="00360586" w:rsidRPr="009C7A4D" w:rsidRDefault="00360586" w:rsidP="00B02453">
            <w:pPr>
              <w:adjustRightInd w:val="0"/>
              <w:snapToGrid w:val="0"/>
              <w:jc w:val="center"/>
              <w:rPr>
                <w:rFonts w:ascii="仿宋_GB2312" w:eastAsia="仿宋_GB2312" w:hAnsi="仿宋_GB2312" w:cs="仿宋_GB2312"/>
                <w:color w:val="000000"/>
                <w:sz w:val="26"/>
                <w:szCs w:val="26"/>
              </w:rPr>
            </w:pPr>
            <w:r w:rsidRPr="009C7A4D">
              <w:rPr>
                <w:rFonts w:ascii="仿宋_GB2312" w:eastAsia="仿宋_GB2312" w:hAnsi="仿宋_GB2312" w:cs="仿宋_GB2312" w:hint="eastAsia"/>
                <w:color w:val="000000"/>
                <w:sz w:val="26"/>
                <w:szCs w:val="26"/>
              </w:rPr>
              <w:t>区文化和旅游局</w:t>
            </w:r>
          </w:p>
          <w:p w:rsidR="00360586" w:rsidRDefault="00360586" w:rsidP="00B02453">
            <w:pPr>
              <w:adjustRightInd w:val="0"/>
              <w:snapToGrid w:val="0"/>
              <w:jc w:val="center"/>
              <w:rPr>
                <w:rFonts w:ascii="仿宋_GB2312" w:eastAsia="仿宋_GB2312" w:hAnsi="仿宋_GB2312" w:cs="仿宋_GB2312"/>
                <w:color w:val="000000"/>
                <w:sz w:val="26"/>
                <w:szCs w:val="26"/>
              </w:rPr>
            </w:pPr>
            <w:r w:rsidRPr="009C7A4D">
              <w:rPr>
                <w:rFonts w:ascii="仿宋_GB2312" w:eastAsia="仿宋_GB2312" w:hAnsi="仿宋_GB2312" w:cs="仿宋_GB2312" w:hint="eastAsia"/>
                <w:color w:val="000000"/>
                <w:sz w:val="26"/>
                <w:szCs w:val="26"/>
              </w:rPr>
              <w:t>五大道管委会</w:t>
            </w:r>
          </w:p>
          <w:p w:rsidR="005C4693" w:rsidRPr="005C4693" w:rsidRDefault="005C4693" w:rsidP="00B02453">
            <w:pPr>
              <w:adjustRightInd w:val="0"/>
              <w:snapToGrid w:val="0"/>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区繁华办</w:t>
            </w:r>
          </w:p>
        </w:tc>
        <w:tc>
          <w:tcPr>
            <w:tcW w:w="2077" w:type="dxa"/>
            <w:vAlign w:val="center"/>
          </w:tcPr>
          <w:p w:rsidR="00360586" w:rsidRPr="009C7A4D" w:rsidRDefault="00360586" w:rsidP="00B02453">
            <w:pPr>
              <w:adjustRightInd w:val="0"/>
              <w:snapToGrid w:val="0"/>
              <w:jc w:val="center"/>
              <w:rPr>
                <w:rFonts w:ascii="仿宋_GB2312" w:eastAsia="仿宋_GB2312" w:hAnsi="仿宋_GB2312" w:cs="仿宋_GB2312"/>
                <w:sz w:val="26"/>
                <w:szCs w:val="26"/>
              </w:rPr>
            </w:pPr>
            <w:r>
              <w:rPr>
                <w:rFonts w:ascii="仿宋_GB2312" w:eastAsia="仿宋_GB2312" w:hAnsi="仿宋_GB2312" w:cs="仿宋_GB2312" w:hint="eastAsia"/>
                <w:sz w:val="26"/>
                <w:szCs w:val="26"/>
              </w:rPr>
              <w:t>区文化旅游业复工营业工作专班成员单位</w:t>
            </w:r>
          </w:p>
        </w:tc>
      </w:tr>
      <w:tr w:rsidR="00360586" w:rsidRPr="00B2510E" w:rsidTr="00013FEF">
        <w:trPr>
          <w:trHeight w:val="792"/>
          <w:jc w:val="center"/>
        </w:trPr>
        <w:tc>
          <w:tcPr>
            <w:tcW w:w="1683" w:type="dxa"/>
            <w:vMerge w:val="restart"/>
            <w:vAlign w:val="center"/>
          </w:tcPr>
          <w:p w:rsidR="00360586" w:rsidRPr="00B2510E" w:rsidRDefault="00360586" w:rsidP="00B02453">
            <w:pPr>
              <w:adjustRightInd w:val="0"/>
              <w:snapToGrid w:val="0"/>
              <w:rPr>
                <w:rFonts w:eastAsia="黑体" w:cs="仿宋_GB2312"/>
                <w:sz w:val="28"/>
                <w:szCs w:val="28"/>
              </w:rPr>
            </w:pPr>
            <w:r w:rsidRPr="00B2510E">
              <w:rPr>
                <w:rFonts w:eastAsia="黑体" w:cs="仿宋_GB2312" w:hint="eastAsia"/>
                <w:sz w:val="28"/>
                <w:szCs w:val="28"/>
              </w:rPr>
              <w:t>三、强化重点场所管理</w:t>
            </w:r>
          </w:p>
          <w:p w:rsidR="00360586" w:rsidRPr="00B2510E" w:rsidRDefault="00360586" w:rsidP="00B02453">
            <w:pPr>
              <w:adjustRightInd w:val="0"/>
              <w:snapToGrid w:val="0"/>
              <w:rPr>
                <w:rFonts w:ascii="仿宋_GB2312" w:eastAsia="仿宋_GB2312" w:hAnsiTheme="minorEastAsia" w:cstheme="minorEastAsia"/>
                <w:sz w:val="28"/>
                <w:szCs w:val="28"/>
              </w:rPr>
            </w:pPr>
          </w:p>
        </w:tc>
        <w:tc>
          <w:tcPr>
            <w:tcW w:w="2769" w:type="dxa"/>
            <w:vAlign w:val="center"/>
          </w:tcPr>
          <w:p w:rsidR="00360586" w:rsidRPr="00B2510E" w:rsidRDefault="00360586" w:rsidP="00B02453">
            <w:pPr>
              <w:adjustRightInd w:val="0"/>
              <w:snapToGrid w:val="0"/>
              <w:rPr>
                <w:rFonts w:ascii="楷体_GB2312" w:eastAsia="楷体_GB2312" w:hAnsi="楷体_GB2312" w:cs="楷体_GB2312"/>
                <w:sz w:val="28"/>
                <w:szCs w:val="28"/>
              </w:rPr>
            </w:pPr>
            <w:r w:rsidRPr="00B2510E">
              <w:rPr>
                <w:rFonts w:ascii="楷体_GB2312" w:eastAsia="楷体_GB2312" w:hAnsi="楷体_GB2312" w:cs="楷体_GB2312" w:hint="eastAsia"/>
                <w:sz w:val="28"/>
                <w:szCs w:val="28"/>
              </w:rPr>
              <w:t>6.强化游览场所管理</w:t>
            </w:r>
          </w:p>
        </w:tc>
        <w:tc>
          <w:tcPr>
            <w:tcW w:w="7453" w:type="dxa"/>
            <w:vAlign w:val="center"/>
          </w:tcPr>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（1）旅游景区应严格落实疫情防控要求，实施流量控制，采取预约制、限流、分流等措施，控制游客间距保持1米以上，避免出现人员聚集拥挤。</w:t>
            </w:r>
          </w:p>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（2）规范做好公共场所消毒工作，游客服务中心应备有75%的酒精棉球或其他消毒液等物品，免费供游客使用，并严格按照技术规定做好管理使用工作。</w:t>
            </w:r>
          </w:p>
        </w:tc>
        <w:tc>
          <w:tcPr>
            <w:tcW w:w="2239" w:type="dxa"/>
            <w:vAlign w:val="center"/>
          </w:tcPr>
          <w:p w:rsidR="00360586" w:rsidRPr="009C7A4D" w:rsidRDefault="00360586" w:rsidP="00B02453">
            <w:pPr>
              <w:adjustRightInd w:val="0"/>
              <w:snapToGrid w:val="0"/>
              <w:jc w:val="center"/>
              <w:rPr>
                <w:rFonts w:ascii="仿宋_GB2312" w:eastAsia="仿宋_GB2312" w:hAnsi="仿宋_GB2312" w:cs="仿宋_GB2312"/>
                <w:color w:val="000000"/>
                <w:sz w:val="26"/>
                <w:szCs w:val="26"/>
              </w:rPr>
            </w:pPr>
            <w:r w:rsidRPr="009C7A4D">
              <w:rPr>
                <w:rFonts w:ascii="仿宋_GB2312" w:eastAsia="仿宋_GB2312" w:hAnsi="仿宋_GB2312" w:cs="仿宋_GB2312" w:hint="eastAsia"/>
                <w:color w:val="000000"/>
                <w:sz w:val="26"/>
                <w:szCs w:val="26"/>
              </w:rPr>
              <w:t>区文化和旅游局</w:t>
            </w:r>
          </w:p>
          <w:p w:rsidR="00360586" w:rsidRDefault="00360586" w:rsidP="00B02453">
            <w:pPr>
              <w:adjustRightInd w:val="0"/>
              <w:snapToGrid w:val="0"/>
              <w:jc w:val="center"/>
              <w:rPr>
                <w:rFonts w:ascii="仿宋_GB2312" w:eastAsia="仿宋_GB2312" w:hAnsi="仿宋_GB2312" w:cs="仿宋_GB2312"/>
                <w:color w:val="000000"/>
                <w:sz w:val="26"/>
                <w:szCs w:val="26"/>
              </w:rPr>
            </w:pPr>
            <w:r w:rsidRPr="009C7A4D">
              <w:rPr>
                <w:rFonts w:ascii="仿宋_GB2312" w:eastAsia="仿宋_GB2312" w:hAnsi="仿宋_GB2312" w:cs="仿宋_GB2312" w:hint="eastAsia"/>
                <w:color w:val="000000"/>
                <w:sz w:val="26"/>
                <w:szCs w:val="26"/>
              </w:rPr>
              <w:t>五大道管委会</w:t>
            </w:r>
          </w:p>
          <w:p w:rsidR="005C4693" w:rsidRPr="009C7A4D" w:rsidRDefault="005C4693" w:rsidP="00B02453">
            <w:pPr>
              <w:adjustRightInd w:val="0"/>
              <w:snapToGrid w:val="0"/>
              <w:jc w:val="center"/>
              <w:rPr>
                <w:rFonts w:ascii="仿宋_GB2312" w:eastAsia="仿宋_GB2312" w:hAnsi="仿宋_GB2312" w:cs="仿宋_GB2312"/>
                <w:color w:val="000000"/>
                <w:sz w:val="26"/>
                <w:szCs w:val="26"/>
              </w:rPr>
            </w:pPr>
            <w:r>
              <w:rPr>
                <w:rFonts w:ascii="仿宋_GB2312" w:eastAsia="仿宋_GB2312" w:hAnsi="仿宋_GB2312" w:cs="仿宋_GB2312" w:hint="eastAsia"/>
                <w:color w:val="000000"/>
                <w:sz w:val="26"/>
                <w:szCs w:val="26"/>
              </w:rPr>
              <w:t>区繁华办</w:t>
            </w:r>
          </w:p>
        </w:tc>
        <w:tc>
          <w:tcPr>
            <w:tcW w:w="2077" w:type="dxa"/>
            <w:vAlign w:val="center"/>
          </w:tcPr>
          <w:p w:rsidR="00360586" w:rsidRPr="009C7A4D" w:rsidRDefault="00360586" w:rsidP="00B02453">
            <w:pPr>
              <w:adjustRightInd w:val="0"/>
              <w:snapToGrid w:val="0"/>
              <w:jc w:val="center"/>
              <w:rPr>
                <w:rFonts w:ascii="仿宋_GB2312" w:eastAsia="仿宋_GB2312" w:hAnsi="仿宋_GB2312" w:cs="仿宋_GB2312"/>
                <w:sz w:val="26"/>
                <w:szCs w:val="26"/>
              </w:rPr>
            </w:pPr>
            <w:r>
              <w:rPr>
                <w:rFonts w:ascii="仿宋_GB2312" w:eastAsia="仿宋_GB2312" w:hAnsi="仿宋_GB2312" w:cs="仿宋_GB2312" w:hint="eastAsia"/>
                <w:sz w:val="26"/>
                <w:szCs w:val="26"/>
              </w:rPr>
              <w:t>区文化旅游业复工营业工作专班成员单位</w:t>
            </w:r>
          </w:p>
        </w:tc>
      </w:tr>
      <w:tr w:rsidR="00360586" w:rsidRPr="00B2510E" w:rsidTr="00013FEF">
        <w:trPr>
          <w:trHeight w:val="617"/>
          <w:jc w:val="center"/>
        </w:trPr>
        <w:tc>
          <w:tcPr>
            <w:tcW w:w="1683" w:type="dxa"/>
            <w:vMerge/>
            <w:vAlign w:val="center"/>
          </w:tcPr>
          <w:p w:rsidR="00360586" w:rsidRPr="00B2510E" w:rsidRDefault="00360586" w:rsidP="00B02453">
            <w:pPr>
              <w:adjustRightInd w:val="0"/>
              <w:snapToGrid w:val="0"/>
              <w:rPr>
                <w:rFonts w:ascii="仿宋_GB2312" w:eastAsia="仿宋_GB2312" w:hAnsiTheme="minorEastAsia" w:cstheme="minorEastAsia"/>
                <w:sz w:val="28"/>
                <w:szCs w:val="28"/>
              </w:rPr>
            </w:pPr>
          </w:p>
        </w:tc>
        <w:tc>
          <w:tcPr>
            <w:tcW w:w="2769" w:type="dxa"/>
            <w:vAlign w:val="center"/>
          </w:tcPr>
          <w:p w:rsidR="00360586" w:rsidRPr="00B2510E" w:rsidRDefault="00360586" w:rsidP="00B02453">
            <w:pPr>
              <w:adjustRightInd w:val="0"/>
              <w:snapToGrid w:val="0"/>
              <w:rPr>
                <w:rFonts w:ascii="楷体_GB2312" w:eastAsia="楷体_GB2312" w:hAnsi="楷体_GB2312" w:cs="楷体_GB2312"/>
                <w:sz w:val="28"/>
                <w:szCs w:val="28"/>
              </w:rPr>
            </w:pPr>
            <w:r w:rsidRPr="00B2510E">
              <w:rPr>
                <w:rFonts w:ascii="楷体_GB2312" w:eastAsia="楷体_GB2312" w:hAnsi="楷体_GB2312" w:cs="楷体_GB2312" w:hint="eastAsia"/>
                <w:sz w:val="28"/>
                <w:szCs w:val="28"/>
              </w:rPr>
              <w:t>7.强化餐饮行业管理</w:t>
            </w:r>
          </w:p>
        </w:tc>
        <w:tc>
          <w:tcPr>
            <w:tcW w:w="7453" w:type="dxa"/>
            <w:vAlign w:val="center"/>
          </w:tcPr>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（1）餐厅尽量实行送餐及分餐等措施，禁止大规模聚餐、</w:t>
            </w:r>
            <w:proofErr w:type="gramStart"/>
            <w:r w:rsidRPr="00401F6C">
              <w:rPr>
                <w:rFonts w:ascii="仿宋_GB2312" w:eastAsia="仿宋_GB2312" w:hAnsi="仿宋_GB2312" w:cs="仿宋_GB2312" w:hint="eastAsia"/>
                <w:sz w:val="26"/>
                <w:szCs w:val="26"/>
              </w:rPr>
              <w:t>串桌等</w:t>
            </w:r>
            <w:proofErr w:type="gramEnd"/>
            <w:r w:rsidRPr="00401F6C">
              <w:rPr>
                <w:rFonts w:ascii="仿宋_GB2312" w:eastAsia="仿宋_GB2312" w:hAnsi="仿宋_GB2312" w:cs="仿宋_GB2312" w:hint="eastAsia"/>
                <w:sz w:val="26"/>
                <w:szCs w:val="26"/>
              </w:rPr>
              <w:t>行为，加大餐桌间距，避免人员密集。</w:t>
            </w:r>
          </w:p>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（2）餐厅每日消毒1次，餐桌、餐椅使用后进行消毒，餐具用品须实行严格有效的消毒措施，建议使用公勺公筷，或自带碗筷。</w:t>
            </w:r>
          </w:p>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（3）就餐时尽量同向就坐，面对面就坐应错位，注意保持距离。</w:t>
            </w:r>
          </w:p>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（4）餐厅提供所有食品须符合食品安全要求，确保干净卫生，防止食物中毒。</w:t>
            </w:r>
          </w:p>
        </w:tc>
        <w:tc>
          <w:tcPr>
            <w:tcW w:w="2239" w:type="dxa"/>
            <w:vAlign w:val="center"/>
          </w:tcPr>
          <w:p w:rsidR="00360586" w:rsidRPr="009C7A4D" w:rsidRDefault="00360586" w:rsidP="00B02453">
            <w:pPr>
              <w:adjustRightInd w:val="0"/>
              <w:snapToGrid w:val="0"/>
              <w:jc w:val="center"/>
              <w:rPr>
                <w:rFonts w:ascii="仿宋_GB2312" w:eastAsia="仿宋_GB2312" w:hAnsi="仿宋_GB2312" w:cs="仿宋_GB2312"/>
                <w:color w:val="000000"/>
                <w:sz w:val="26"/>
                <w:szCs w:val="26"/>
              </w:rPr>
            </w:pPr>
            <w:r w:rsidRPr="009C7A4D">
              <w:rPr>
                <w:rFonts w:ascii="仿宋_GB2312" w:eastAsia="仿宋_GB2312" w:hAnsi="仿宋_GB2312" w:cs="仿宋_GB2312" w:hint="eastAsia"/>
                <w:color w:val="000000"/>
                <w:sz w:val="26"/>
                <w:szCs w:val="26"/>
              </w:rPr>
              <w:t>区市场监管局</w:t>
            </w:r>
          </w:p>
        </w:tc>
        <w:tc>
          <w:tcPr>
            <w:tcW w:w="2077" w:type="dxa"/>
            <w:vAlign w:val="center"/>
          </w:tcPr>
          <w:p w:rsidR="00360586" w:rsidRDefault="00360586" w:rsidP="00B02453">
            <w:pPr>
              <w:adjustRightInd w:val="0"/>
              <w:snapToGrid w:val="0"/>
              <w:jc w:val="center"/>
              <w:rPr>
                <w:rFonts w:ascii="仿宋_GB2312" w:eastAsia="仿宋_GB2312" w:hAnsi="仿宋_GB2312" w:cs="仿宋_GB2312"/>
                <w:color w:val="000000"/>
                <w:sz w:val="26"/>
                <w:szCs w:val="26"/>
              </w:rPr>
            </w:pPr>
            <w:r w:rsidRPr="009C7A4D">
              <w:rPr>
                <w:rFonts w:ascii="仿宋_GB2312" w:eastAsia="仿宋_GB2312" w:hAnsi="仿宋_GB2312" w:cs="仿宋_GB2312" w:hint="eastAsia"/>
                <w:color w:val="000000"/>
                <w:sz w:val="26"/>
                <w:szCs w:val="26"/>
              </w:rPr>
              <w:t>区商务局</w:t>
            </w:r>
          </w:p>
          <w:p w:rsidR="005C4693" w:rsidRPr="009C7A4D" w:rsidRDefault="005C4693" w:rsidP="00B02453">
            <w:pPr>
              <w:adjustRightInd w:val="0"/>
              <w:snapToGrid w:val="0"/>
              <w:jc w:val="center"/>
              <w:rPr>
                <w:rFonts w:ascii="仿宋_GB2312" w:eastAsia="仿宋_GB2312" w:hAnsi="仿宋_GB2312" w:cs="仿宋_GB2312"/>
                <w:sz w:val="26"/>
                <w:szCs w:val="26"/>
              </w:rPr>
            </w:pPr>
            <w:r>
              <w:rPr>
                <w:rFonts w:ascii="仿宋_GB2312" w:eastAsia="仿宋_GB2312" w:hAnsi="仿宋_GB2312" w:cs="仿宋_GB2312" w:hint="eastAsia"/>
                <w:color w:val="000000"/>
                <w:sz w:val="26"/>
                <w:szCs w:val="26"/>
              </w:rPr>
              <w:t>各街道办事处</w:t>
            </w:r>
          </w:p>
        </w:tc>
      </w:tr>
      <w:tr w:rsidR="00360586" w:rsidRPr="00B2510E" w:rsidTr="00013FEF">
        <w:trPr>
          <w:trHeight w:val="2351"/>
          <w:jc w:val="center"/>
        </w:trPr>
        <w:tc>
          <w:tcPr>
            <w:tcW w:w="1683" w:type="dxa"/>
            <w:vMerge/>
            <w:vAlign w:val="center"/>
          </w:tcPr>
          <w:p w:rsidR="00360586" w:rsidRPr="00B2510E" w:rsidRDefault="00360586" w:rsidP="00B02453">
            <w:pPr>
              <w:adjustRightInd w:val="0"/>
              <w:snapToGrid w:val="0"/>
              <w:rPr>
                <w:rFonts w:ascii="仿宋_GB2312" w:eastAsia="仿宋_GB2312" w:hAnsiTheme="minorEastAsia" w:cstheme="minorEastAsia"/>
                <w:sz w:val="28"/>
                <w:szCs w:val="28"/>
              </w:rPr>
            </w:pPr>
          </w:p>
        </w:tc>
        <w:tc>
          <w:tcPr>
            <w:tcW w:w="2769" w:type="dxa"/>
            <w:vAlign w:val="center"/>
          </w:tcPr>
          <w:p w:rsidR="00360586" w:rsidRPr="00B2510E" w:rsidRDefault="00360586" w:rsidP="00B02453">
            <w:pPr>
              <w:adjustRightInd w:val="0"/>
              <w:snapToGrid w:val="0"/>
              <w:rPr>
                <w:rFonts w:ascii="楷体_GB2312" w:eastAsia="楷体_GB2312" w:hAnsi="楷体_GB2312" w:cs="楷体_GB2312"/>
                <w:sz w:val="28"/>
                <w:szCs w:val="28"/>
              </w:rPr>
            </w:pPr>
            <w:r w:rsidRPr="00B2510E">
              <w:rPr>
                <w:rFonts w:ascii="楷体_GB2312" w:eastAsia="楷体_GB2312" w:hAnsi="楷体_GB2312" w:cs="楷体_GB2312" w:hint="eastAsia"/>
                <w:sz w:val="28"/>
                <w:szCs w:val="28"/>
              </w:rPr>
              <w:t>8.强化购物场所管理</w:t>
            </w:r>
          </w:p>
        </w:tc>
        <w:tc>
          <w:tcPr>
            <w:tcW w:w="7453" w:type="dxa"/>
            <w:vAlign w:val="center"/>
          </w:tcPr>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（1）加强通风换气，对经常接触的公共用品和设施（如存储柜、电梯间按钮、扶梯扶手、卫生间门把手、公共垃圾桶等）要做好清洁消毒。</w:t>
            </w:r>
          </w:p>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（2）通过分流、限流减少人员聚集，在收银处设置“一米线”，提醒顾客排队付款结账时保持安全距离。</w:t>
            </w:r>
          </w:p>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（3）鼓励使用移动支付方式，通过自助通道结账，推行顾客自备购物袋购物。</w:t>
            </w:r>
          </w:p>
        </w:tc>
        <w:tc>
          <w:tcPr>
            <w:tcW w:w="2239" w:type="dxa"/>
            <w:vAlign w:val="center"/>
          </w:tcPr>
          <w:p w:rsidR="005C4693" w:rsidRDefault="00360586" w:rsidP="00B02453">
            <w:pPr>
              <w:adjustRightInd w:val="0"/>
              <w:snapToGrid w:val="0"/>
              <w:jc w:val="center"/>
              <w:rPr>
                <w:rFonts w:ascii="仿宋_GB2312" w:eastAsia="仿宋_GB2312" w:hAnsi="仿宋_GB2312" w:cs="仿宋_GB2312"/>
                <w:sz w:val="26"/>
                <w:szCs w:val="26"/>
              </w:rPr>
            </w:pPr>
            <w:r w:rsidRPr="009C7A4D">
              <w:rPr>
                <w:rFonts w:ascii="仿宋_GB2312" w:eastAsia="仿宋_GB2312" w:hAnsi="仿宋_GB2312" w:cs="仿宋_GB2312" w:hint="eastAsia"/>
                <w:sz w:val="26"/>
                <w:szCs w:val="26"/>
              </w:rPr>
              <w:t>区商务局</w:t>
            </w:r>
          </w:p>
          <w:p w:rsidR="00360586" w:rsidRPr="009C7A4D" w:rsidRDefault="005C4693" w:rsidP="00B02453">
            <w:pPr>
              <w:adjustRightInd w:val="0"/>
              <w:snapToGrid w:val="0"/>
              <w:jc w:val="center"/>
              <w:rPr>
                <w:rFonts w:ascii="仿宋_GB2312" w:eastAsia="仿宋_GB2312" w:hAnsi="仿宋_GB2312" w:cs="仿宋_GB2312"/>
                <w:sz w:val="26"/>
                <w:szCs w:val="26"/>
              </w:rPr>
            </w:pPr>
            <w:r>
              <w:rPr>
                <w:rFonts w:ascii="仿宋_GB2312" w:eastAsia="仿宋_GB2312" w:hAnsi="仿宋_GB2312" w:cs="仿宋_GB2312" w:hint="eastAsia"/>
                <w:sz w:val="26"/>
                <w:szCs w:val="26"/>
              </w:rPr>
              <w:t>区市场监管局</w:t>
            </w:r>
          </w:p>
        </w:tc>
        <w:tc>
          <w:tcPr>
            <w:tcW w:w="2077" w:type="dxa"/>
            <w:vAlign w:val="center"/>
          </w:tcPr>
          <w:p w:rsidR="00360586" w:rsidRPr="009C7A4D" w:rsidRDefault="005C4693" w:rsidP="00B02453">
            <w:pPr>
              <w:adjustRightInd w:val="0"/>
              <w:snapToGrid w:val="0"/>
              <w:jc w:val="center"/>
              <w:rPr>
                <w:rFonts w:ascii="仿宋_GB2312" w:eastAsia="仿宋_GB2312" w:hAnsi="仿宋_GB2312" w:cs="仿宋_GB2312"/>
                <w:sz w:val="26"/>
                <w:szCs w:val="26"/>
              </w:rPr>
            </w:pPr>
            <w:r>
              <w:rPr>
                <w:rFonts w:ascii="仿宋_GB2312" w:eastAsia="仿宋_GB2312" w:hAnsi="仿宋_GB2312" w:cs="仿宋_GB2312" w:hint="eastAsia"/>
                <w:sz w:val="26"/>
                <w:szCs w:val="26"/>
              </w:rPr>
              <w:t>各街道办事处</w:t>
            </w:r>
          </w:p>
        </w:tc>
      </w:tr>
      <w:tr w:rsidR="00360586" w:rsidRPr="00B2510E" w:rsidTr="00013FEF">
        <w:trPr>
          <w:trHeight w:val="987"/>
          <w:jc w:val="center"/>
        </w:trPr>
        <w:tc>
          <w:tcPr>
            <w:tcW w:w="1683" w:type="dxa"/>
            <w:vMerge/>
            <w:vAlign w:val="center"/>
          </w:tcPr>
          <w:p w:rsidR="00360586" w:rsidRPr="00B2510E" w:rsidRDefault="00360586" w:rsidP="00B02453">
            <w:pPr>
              <w:adjustRightInd w:val="0"/>
              <w:snapToGrid w:val="0"/>
              <w:rPr>
                <w:rFonts w:ascii="仿宋_GB2312" w:eastAsia="仿宋_GB2312" w:hAnsiTheme="minorEastAsia" w:cstheme="minorEastAsia"/>
                <w:sz w:val="28"/>
                <w:szCs w:val="28"/>
              </w:rPr>
            </w:pPr>
          </w:p>
        </w:tc>
        <w:tc>
          <w:tcPr>
            <w:tcW w:w="2769" w:type="dxa"/>
            <w:vAlign w:val="center"/>
          </w:tcPr>
          <w:p w:rsidR="00360586" w:rsidRPr="00B2510E" w:rsidRDefault="00360586" w:rsidP="00B02453">
            <w:pPr>
              <w:adjustRightInd w:val="0"/>
              <w:snapToGrid w:val="0"/>
              <w:rPr>
                <w:rFonts w:ascii="楷体_GB2312" w:eastAsia="楷体_GB2312" w:hAnsi="楷体_GB2312" w:cs="楷体_GB2312"/>
                <w:sz w:val="28"/>
                <w:szCs w:val="28"/>
              </w:rPr>
            </w:pPr>
            <w:r w:rsidRPr="00B2510E">
              <w:rPr>
                <w:rFonts w:ascii="楷体_GB2312" w:eastAsia="楷体_GB2312" w:hAnsi="楷体_GB2312" w:cs="楷体_GB2312" w:hint="eastAsia"/>
                <w:sz w:val="28"/>
                <w:szCs w:val="28"/>
              </w:rPr>
              <w:t>9.强化交通运输管理</w:t>
            </w:r>
          </w:p>
        </w:tc>
        <w:tc>
          <w:tcPr>
            <w:tcW w:w="7453" w:type="dxa"/>
            <w:vAlign w:val="center"/>
          </w:tcPr>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（1）配合做好辖区客运场站发现发热等可疑症状的乘客处置工作。</w:t>
            </w:r>
          </w:p>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（2）乘客和工作人员均应加强个人防护，佩戴口罩，并做好手卫生。</w:t>
            </w:r>
          </w:p>
        </w:tc>
        <w:tc>
          <w:tcPr>
            <w:tcW w:w="2239" w:type="dxa"/>
            <w:vAlign w:val="center"/>
          </w:tcPr>
          <w:p w:rsidR="00360586" w:rsidRPr="009C7A4D" w:rsidRDefault="00360586" w:rsidP="00B02453">
            <w:pPr>
              <w:adjustRightInd w:val="0"/>
              <w:snapToGrid w:val="0"/>
              <w:jc w:val="center"/>
              <w:rPr>
                <w:rFonts w:ascii="仿宋_GB2312" w:eastAsia="仿宋_GB2312" w:hAnsi="仿宋_GB2312" w:cs="仿宋_GB2312"/>
                <w:sz w:val="26"/>
                <w:szCs w:val="26"/>
              </w:rPr>
            </w:pPr>
            <w:r w:rsidRPr="009C7A4D">
              <w:rPr>
                <w:rFonts w:ascii="仿宋_GB2312" w:eastAsia="仿宋_GB2312" w:hAnsi="仿宋_GB2312" w:cs="仿宋_GB2312" w:hint="eastAsia"/>
                <w:sz w:val="26"/>
                <w:szCs w:val="26"/>
              </w:rPr>
              <w:t>区</w:t>
            </w:r>
            <w:r>
              <w:rPr>
                <w:rFonts w:ascii="仿宋_GB2312" w:eastAsia="仿宋_GB2312" w:hAnsi="仿宋_GB2312" w:cs="仿宋_GB2312" w:hint="eastAsia"/>
                <w:sz w:val="26"/>
                <w:szCs w:val="26"/>
              </w:rPr>
              <w:t>城市管理委</w:t>
            </w:r>
          </w:p>
          <w:p w:rsidR="00360586" w:rsidRPr="009C7A4D" w:rsidRDefault="00360586" w:rsidP="00B02453">
            <w:pPr>
              <w:adjustRightInd w:val="0"/>
              <w:snapToGrid w:val="0"/>
              <w:jc w:val="center"/>
              <w:rPr>
                <w:rFonts w:ascii="仿宋_GB2312" w:eastAsia="仿宋_GB2312" w:hAnsi="仿宋_GB2312" w:cs="仿宋_GB2312"/>
                <w:sz w:val="26"/>
                <w:szCs w:val="26"/>
              </w:rPr>
            </w:pPr>
            <w:r w:rsidRPr="009C7A4D">
              <w:rPr>
                <w:rFonts w:ascii="仿宋_GB2312" w:eastAsia="仿宋_GB2312" w:hAnsi="仿宋_GB2312" w:cs="仿宋_GB2312" w:hint="eastAsia"/>
                <w:sz w:val="26"/>
                <w:szCs w:val="26"/>
              </w:rPr>
              <w:t>（</w:t>
            </w:r>
            <w:proofErr w:type="gramStart"/>
            <w:r w:rsidRPr="009C7A4D">
              <w:rPr>
                <w:rFonts w:ascii="仿宋_GB2312" w:eastAsia="仿宋_GB2312" w:hAnsi="仿宋_GB2312" w:cs="仿宋_GB2312" w:hint="eastAsia"/>
                <w:sz w:val="26"/>
                <w:szCs w:val="26"/>
              </w:rPr>
              <w:t>对接市</w:t>
            </w:r>
            <w:proofErr w:type="gramEnd"/>
            <w:r w:rsidRPr="009C7A4D">
              <w:rPr>
                <w:rFonts w:ascii="仿宋_GB2312" w:eastAsia="仿宋_GB2312" w:hAnsi="仿宋_GB2312" w:cs="仿宋_GB2312" w:hint="eastAsia"/>
                <w:sz w:val="26"/>
                <w:szCs w:val="26"/>
              </w:rPr>
              <w:t>交运委）</w:t>
            </w:r>
          </w:p>
        </w:tc>
        <w:tc>
          <w:tcPr>
            <w:tcW w:w="2077" w:type="dxa"/>
            <w:vAlign w:val="center"/>
          </w:tcPr>
          <w:p w:rsidR="00360586" w:rsidRPr="009C7A4D" w:rsidRDefault="00360586" w:rsidP="00B02453">
            <w:pPr>
              <w:adjustRightInd w:val="0"/>
              <w:snapToGrid w:val="0"/>
              <w:jc w:val="center"/>
              <w:rPr>
                <w:rFonts w:ascii="仿宋_GB2312" w:eastAsia="仿宋_GB2312" w:hAnsi="仿宋_GB2312" w:cs="仿宋_GB2312"/>
                <w:sz w:val="26"/>
                <w:szCs w:val="26"/>
              </w:rPr>
            </w:pPr>
            <w:r>
              <w:rPr>
                <w:rFonts w:ascii="仿宋_GB2312" w:eastAsia="仿宋_GB2312" w:hAnsi="仿宋_GB2312" w:cs="仿宋_GB2312" w:hint="eastAsia"/>
                <w:sz w:val="26"/>
                <w:szCs w:val="26"/>
              </w:rPr>
              <w:t>交</w:t>
            </w:r>
            <w:proofErr w:type="gramStart"/>
            <w:r>
              <w:rPr>
                <w:rFonts w:ascii="仿宋_GB2312" w:eastAsia="仿宋_GB2312" w:hAnsi="仿宋_GB2312" w:cs="仿宋_GB2312" w:hint="eastAsia"/>
                <w:sz w:val="26"/>
                <w:szCs w:val="26"/>
              </w:rPr>
              <w:t>管和平</w:t>
            </w:r>
            <w:proofErr w:type="gramEnd"/>
            <w:r>
              <w:rPr>
                <w:rFonts w:ascii="仿宋_GB2312" w:eastAsia="仿宋_GB2312" w:hAnsi="仿宋_GB2312" w:cs="仿宋_GB2312" w:hint="eastAsia"/>
                <w:sz w:val="26"/>
                <w:szCs w:val="26"/>
              </w:rPr>
              <w:t>支队</w:t>
            </w:r>
          </w:p>
        </w:tc>
      </w:tr>
      <w:tr w:rsidR="00360586" w:rsidRPr="00B2510E" w:rsidTr="00013FEF">
        <w:trPr>
          <w:trHeight w:val="2051"/>
          <w:jc w:val="center"/>
        </w:trPr>
        <w:tc>
          <w:tcPr>
            <w:tcW w:w="1683" w:type="dxa"/>
            <w:vMerge/>
            <w:vAlign w:val="center"/>
          </w:tcPr>
          <w:p w:rsidR="00360586" w:rsidRPr="00B2510E" w:rsidRDefault="00360586" w:rsidP="00B02453">
            <w:pPr>
              <w:adjustRightInd w:val="0"/>
              <w:snapToGrid w:val="0"/>
              <w:rPr>
                <w:rFonts w:ascii="仿宋_GB2312" w:eastAsia="仿宋_GB2312" w:hAnsiTheme="minorEastAsia" w:cstheme="minorEastAsia"/>
                <w:sz w:val="28"/>
                <w:szCs w:val="28"/>
              </w:rPr>
            </w:pPr>
          </w:p>
        </w:tc>
        <w:tc>
          <w:tcPr>
            <w:tcW w:w="2769" w:type="dxa"/>
            <w:vAlign w:val="center"/>
          </w:tcPr>
          <w:p w:rsidR="00360586" w:rsidRPr="00B2510E" w:rsidRDefault="00360586" w:rsidP="00B02453">
            <w:pPr>
              <w:adjustRightInd w:val="0"/>
              <w:snapToGrid w:val="0"/>
              <w:rPr>
                <w:rFonts w:ascii="楷体_GB2312" w:eastAsia="楷体_GB2312" w:hAnsi="楷体_GB2312" w:cs="楷体_GB2312"/>
                <w:sz w:val="28"/>
                <w:szCs w:val="28"/>
              </w:rPr>
            </w:pPr>
            <w:r w:rsidRPr="00B2510E">
              <w:rPr>
                <w:rFonts w:ascii="楷体_GB2312" w:eastAsia="楷体_GB2312" w:hAnsi="楷体_GB2312" w:cs="楷体_GB2312" w:hint="eastAsia"/>
                <w:sz w:val="28"/>
                <w:szCs w:val="28"/>
              </w:rPr>
              <w:t>10.强化社区防控管理</w:t>
            </w:r>
          </w:p>
        </w:tc>
        <w:tc>
          <w:tcPr>
            <w:tcW w:w="7453" w:type="dxa"/>
            <w:vAlign w:val="center"/>
          </w:tcPr>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（1）要严格小区封闭式管理，坚持体温检测、查验天津“健康码”等措施，推广天津“健康码”普及应用。</w:t>
            </w:r>
          </w:p>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（2）严格落实快递、中介、装修、家政等人员进出小区的疫情防控管理制度。</w:t>
            </w:r>
          </w:p>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（3）民宿要遵守社区防控要求。</w:t>
            </w:r>
          </w:p>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（4）强化社区清洁，做到垃圾分类管理、“日产日清”，清运过程实行密闭化运输。</w:t>
            </w:r>
          </w:p>
        </w:tc>
        <w:tc>
          <w:tcPr>
            <w:tcW w:w="2239" w:type="dxa"/>
            <w:vAlign w:val="center"/>
          </w:tcPr>
          <w:p w:rsidR="00360586" w:rsidRDefault="00360586" w:rsidP="00B02453">
            <w:pPr>
              <w:adjustRightInd w:val="0"/>
              <w:snapToGrid w:val="0"/>
              <w:jc w:val="center"/>
              <w:rPr>
                <w:rFonts w:ascii="仿宋_GB2312" w:eastAsia="仿宋_GB2312" w:hAnsi="仿宋_GB2312" w:cs="仿宋_GB2312"/>
                <w:sz w:val="26"/>
                <w:szCs w:val="26"/>
              </w:rPr>
            </w:pPr>
            <w:r w:rsidRPr="00493971">
              <w:rPr>
                <w:rFonts w:ascii="仿宋_GB2312" w:eastAsia="仿宋_GB2312" w:hAnsi="仿宋_GB2312" w:cs="仿宋_GB2312" w:hint="eastAsia"/>
                <w:sz w:val="26"/>
                <w:szCs w:val="26"/>
              </w:rPr>
              <w:t>区委政法委</w:t>
            </w:r>
          </w:p>
          <w:p w:rsidR="005C4693" w:rsidRDefault="00360586" w:rsidP="005C4693">
            <w:pPr>
              <w:adjustRightInd w:val="0"/>
              <w:snapToGrid w:val="0"/>
              <w:jc w:val="center"/>
              <w:rPr>
                <w:rFonts w:ascii="仿宋_GB2312" w:eastAsia="仿宋_GB2312" w:hAnsi="仿宋_GB2312" w:cs="仿宋_GB2312"/>
                <w:sz w:val="26"/>
                <w:szCs w:val="26"/>
              </w:rPr>
            </w:pPr>
            <w:r>
              <w:rPr>
                <w:rFonts w:ascii="仿宋_GB2312" w:eastAsia="仿宋_GB2312" w:hAnsi="仿宋_GB2312" w:cs="仿宋_GB2312" w:hint="eastAsia"/>
                <w:sz w:val="26"/>
                <w:szCs w:val="26"/>
              </w:rPr>
              <w:t>区委组织部</w:t>
            </w:r>
          </w:p>
          <w:p w:rsidR="00360586" w:rsidRPr="00493971" w:rsidRDefault="005C4693" w:rsidP="005C4693">
            <w:pPr>
              <w:adjustRightInd w:val="0"/>
              <w:snapToGrid w:val="0"/>
              <w:jc w:val="center"/>
              <w:rPr>
                <w:rFonts w:ascii="仿宋_GB2312" w:eastAsia="仿宋_GB2312" w:hAnsi="仿宋_GB2312" w:cs="仿宋_GB2312"/>
                <w:sz w:val="26"/>
                <w:szCs w:val="26"/>
              </w:rPr>
            </w:pPr>
            <w:r>
              <w:rPr>
                <w:rFonts w:ascii="仿宋_GB2312" w:eastAsia="仿宋_GB2312" w:hAnsi="仿宋_GB2312" w:cs="仿宋_GB2312" w:hint="eastAsia"/>
                <w:sz w:val="26"/>
                <w:szCs w:val="26"/>
              </w:rPr>
              <w:t>公安和平分局</w:t>
            </w:r>
          </w:p>
        </w:tc>
        <w:tc>
          <w:tcPr>
            <w:tcW w:w="2077" w:type="dxa"/>
            <w:vAlign w:val="center"/>
          </w:tcPr>
          <w:p w:rsidR="00360586" w:rsidRDefault="00360586" w:rsidP="00B02453">
            <w:pPr>
              <w:adjustRightInd w:val="0"/>
              <w:snapToGrid w:val="0"/>
              <w:jc w:val="center"/>
              <w:rPr>
                <w:rFonts w:ascii="仿宋_GB2312" w:eastAsia="仿宋_GB2312" w:hAnsi="仿宋_GB2312" w:cs="仿宋_GB2312"/>
                <w:sz w:val="26"/>
                <w:szCs w:val="26"/>
              </w:rPr>
            </w:pPr>
            <w:r>
              <w:rPr>
                <w:rFonts w:ascii="仿宋_GB2312" w:eastAsia="仿宋_GB2312" w:hAnsi="仿宋_GB2312" w:cs="仿宋_GB2312" w:hint="eastAsia"/>
                <w:sz w:val="26"/>
                <w:szCs w:val="26"/>
              </w:rPr>
              <w:t>各街道办事处</w:t>
            </w:r>
          </w:p>
          <w:p w:rsidR="00360586" w:rsidRPr="008A3D3C" w:rsidRDefault="00360586" w:rsidP="00B02453">
            <w:pPr>
              <w:adjustRightInd w:val="0"/>
              <w:snapToGrid w:val="0"/>
              <w:jc w:val="center"/>
              <w:rPr>
                <w:rFonts w:ascii="仿宋_GB2312" w:eastAsia="仿宋_GB2312" w:hAnsi="仿宋_GB2312" w:cs="仿宋_GB2312"/>
                <w:sz w:val="26"/>
                <w:szCs w:val="26"/>
              </w:rPr>
            </w:pPr>
            <w:r>
              <w:rPr>
                <w:rFonts w:ascii="仿宋_GB2312" w:eastAsia="仿宋_GB2312" w:hAnsi="仿宋_GB2312" w:cs="仿宋_GB2312" w:hint="eastAsia"/>
                <w:sz w:val="26"/>
                <w:szCs w:val="26"/>
              </w:rPr>
              <w:t>区城市管理委</w:t>
            </w:r>
          </w:p>
        </w:tc>
      </w:tr>
      <w:tr w:rsidR="00360586" w:rsidRPr="00B2510E" w:rsidTr="00013FEF">
        <w:trPr>
          <w:trHeight w:val="1041"/>
          <w:jc w:val="center"/>
        </w:trPr>
        <w:tc>
          <w:tcPr>
            <w:tcW w:w="1683" w:type="dxa"/>
            <w:vMerge/>
            <w:vAlign w:val="center"/>
          </w:tcPr>
          <w:p w:rsidR="00360586" w:rsidRPr="00B2510E" w:rsidRDefault="00360586" w:rsidP="00B02453">
            <w:pPr>
              <w:adjustRightInd w:val="0"/>
              <w:snapToGrid w:val="0"/>
              <w:rPr>
                <w:rFonts w:ascii="仿宋_GB2312" w:eastAsia="仿宋_GB2312" w:hAnsiTheme="minorEastAsia" w:cstheme="minorEastAsia"/>
                <w:sz w:val="28"/>
                <w:szCs w:val="28"/>
              </w:rPr>
            </w:pPr>
          </w:p>
        </w:tc>
        <w:tc>
          <w:tcPr>
            <w:tcW w:w="2769" w:type="dxa"/>
            <w:vAlign w:val="center"/>
          </w:tcPr>
          <w:p w:rsidR="00360586" w:rsidRPr="00B2510E" w:rsidRDefault="00360586" w:rsidP="00B02453">
            <w:pPr>
              <w:adjustRightInd w:val="0"/>
              <w:snapToGrid w:val="0"/>
              <w:rPr>
                <w:rFonts w:ascii="楷体_GB2312" w:eastAsia="楷体_GB2312" w:hAnsi="楷体_GB2312" w:cs="楷体_GB2312"/>
                <w:sz w:val="28"/>
                <w:szCs w:val="28"/>
              </w:rPr>
            </w:pPr>
            <w:r w:rsidRPr="00B2510E">
              <w:rPr>
                <w:rFonts w:ascii="楷体_GB2312" w:eastAsia="楷体_GB2312" w:hAnsi="楷体_GB2312" w:cs="楷体_GB2312" w:hint="eastAsia"/>
                <w:sz w:val="28"/>
                <w:szCs w:val="28"/>
              </w:rPr>
              <w:t>11.强化室内体育健身场所管理</w:t>
            </w:r>
          </w:p>
        </w:tc>
        <w:tc>
          <w:tcPr>
            <w:tcW w:w="7453" w:type="dxa"/>
            <w:vAlign w:val="center"/>
          </w:tcPr>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（1）要采取分区域、分时间、分阶段、分项目服务，并开窗通风，保持室内空气流通。</w:t>
            </w:r>
          </w:p>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（2）采取提前预约等方式控制入场人数，杜绝人员聚集，锻炼者之间要保持2米以上间距，不能同时使用同一器材进行锻炼。</w:t>
            </w:r>
          </w:p>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（3）各类游泳场所、利用地下空间、在密闭场所内开设的或自身尚未做好疫情防控准备的室内体育健身场所继续暂停开放服务。</w:t>
            </w:r>
          </w:p>
        </w:tc>
        <w:tc>
          <w:tcPr>
            <w:tcW w:w="2239" w:type="dxa"/>
            <w:vAlign w:val="center"/>
          </w:tcPr>
          <w:p w:rsidR="00360586" w:rsidRPr="00493971" w:rsidRDefault="00360586" w:rsidP="00B02453">
            <w:pPr>
              <w:adjustRightInd w:val="0"/>
              <w:snapToGrid w:val="0"/>
              <w:jc w:val="center"/>
              <w:rPr>
                <w:rFonts w:ascii="仿宋_GB2312" w:eastAsia="仿宋_GB2312" w:hAnsi="仿宋_GB2312" w:cs="仿宋_GB2312"/>
                <w:sz w:val="26"/>
                <w:szCs w:val="26"/>
              </w:rPr>
            </w:pPr>
            <w:r w:rsidRPr="00493971">
              <w:rPr>
                <w:rFonts w:ascii="仿宋_GB2312" w:eastAsia="仿宋_GB2312" w:hAnsi="仿宋_GB2312" w:cs="仿宋_GB2312" w:hint="eastAsia"/>
                <w:sz w:val="26"/>
                <w:szCs w:val="26"/>
              </w:rPr>
              <w:t>区体育局</w:t>
            </w:r>
          </w:p>
          <w:p w:rsidR="00360586" w:rsidRPr="00493971" w:rsidRDefault="00360586" w:rsidP="00B02453">
            <w:pPr>
              <w:adjustRightInd w:val="0"/>
              <w:snapToGrid w:val="0"/>
              <w:jc w:val="center"/>
              <w:rPr>
                <w:rFonts w:ascii="仿宋_GB2312" w:eastAsia="仿宋_GB2312" w:hAnsi="仿宋_GB2312" w:cs="仿宋_GB2312"/>
                <w:sz w:val="26"/>
                <w:szCs w:val="26"/>
              </w:rPr>
            </w:pPr>
          </w:p>
        </w:tc>
        <w:tc>
          <w:tcPr>
            <w:tcW w:w="2077" w:type="dxa"/>
            <w:vAlign w:val="center"/>
          </w:tcPr>
          <w:p w:rsidR="00360586" w:rsidRDefault="00360586" w:rsidP="00B02453">
            <w:pPr>
              <w:adjustRightInd w:val="0"/>
              <w:snapToGrid w:val="0"/>
              <w:jc w:val="center"/>
              <w:rPr>
                <w:rFonts w:ascii="仿宋_GB2312" w:eastAsia="仿宋_GB2312" w:hAnsi="仿宋_GB2312" w:cs="仿宋_GB2312"/>
                <w:sz w:val="26"/>
                <w:szCs w:val="26"/>
              </w:rPr>
            </w:pPr>
            <w:r>
              <w:rPr>
                <w:rFonts w:ascii="仿宋_GB2312" w:eastAsia="仿宋_GB2312" w:hAnsi="仿宋_GB2312" w:cs="仿宋_GB2312" w:hint="eastAsia"/>
                <w:sz w:val="26"/>
                <w:szCs w:val="26"/>
              </w:rPr>
              <w:t>区市场监管局</w:t>
            </w:r>
          </w:p>
          <w:p w:rsidR="00360586" w:rsidRDefault="00360586" w:rsidP="00B02453">
            <w:pPr>
              <w:adjustRightInd w:val="0"/>
              <w:snapToGrid w:val="0"/>
              <w:jc w:val="center"/>
              <w:rPr>
                <w:rFonts w:ascii="仿宋_GB2312" w:eastAsia="仿宋_GB2312" w:hAnsi="仿宋_GB2312" w:cs="仿宋_GB2312"/>
                <w:sz w:val="26"/>
                <w:szCs w:val="26"/>
              </w:rPr>
            </w:pPr>
            <w:r>
              <w:rPr>
                <w:rFonts w:ascii="仿宋_GB2312" w:eastAsia="仿宋_GB2312" w:hAnsi="仿宋_GB2312" w:cs="仿宋_GB2312" w:hint="eastAsia"/>
                <w:sz w:val="26"/>
                <w:szCs w:val="26"/>
              </w:rPr>
              <w:t>区卫生健康委</w:t>
            </w:r>
          </w:p>
          <w:p w:rsidR="00360586" w:rsidRDefault="00360586" w:rsidP="00B02453">
            <w:pPr>
              <w:adjustRightInd w:val="0"/>
              <w:snapToGrid w:val="0"/>
              <w:jc w:val="center"/>
              <w:rPr>
                <w:rFonts w:ascii="仿宋_GB2312" w:eastAsia="仿宋_GB2312" w:hAnsi="仿宋_GB2312" w:cs="仿宋_GB2312"/>
                <w:sz w:val="26"/>
                <w:szCs w:val="26"/>
              </w:rPr>
            </w:pPr>
            <w:r>
              <w:rPr>
                <w:rFonts w:ascii="仿宋_GB2312" w:eastAsia="仿宋_GB2312" w:hAnsi="仿宋_GB2312" w:cs="仿宋_GB2312" w:hint="eastAsia"/>
                <w:sz w:val="26"/>
                <w:szCs w:val="26"/>
              </w:rPr>
              <w:t>各街道办事处</w:t>
            </w:r>
          </w:p>
          <w:p w:rsidR="00360586" w:rsidRDefault="00360586" w:rsidP="00B02453">
            <w:pPr>
              <w:adjustRightInd w:val="0"/>
              <w:snapToGrid w:val="0"/>
              <w:jc w:val="center"/>
              <w:rPr>
                <w:rFonts w:ascii="仿宋_GB2312" w:eastAsia="仿宋_GB2312" w:hAnsi="仿宋_GB2312" w:cs="仿宋_GB2312"/>
                <w:sz w:val="26"/>
                <w:szCs w:val="26"/>
              </w:rPr>
            </w:pPr>
            <w:r>
              <w:rPr>
                <w:rFonts w:ascii="仿宋_GB2312" w:eastAsia="仿宋_GB2312" w:hAnsi="仿宋_GB2312" w:cs="仿宋_GB2312" w:hint="eastAsia"/>
                <w:sz w:val="26"/>
                <w:szCs w:val="26"/>
              </w:rPr>
              <w:t>区楼宇办</w:t>
            </w:r>
          </w:p>
          <w:p w:rsidR="00360586" w:rsidRDefault="00360586" w:rsidP="00B02453">
            <w:pPr>
              <w:adjustRightInd w:val="0"/>
              <w:snapToGrid w:val="0"/>
              <w:jc w:val="center"/>
              <w:rPr>
                <w:rFonts w:ascii="仿宋_GB2312" w:eastAsia="仿宋_GB2312" w:hAnsi="仿宋_GB2312" w:cs="仿宋_GB2312"/>
                <w:sz w:val="26"/>
                <w:szCs w:val="26"/>
              </w:rPr>
            </w:pPr>
            <w:r>
              <w:rPr>
                <w:rFonts w:ascii="仿宋_GB2312" w:eastAsia="仿宋_GB2312" w:hAnsi="仿宋_GB2312" w:cs="仿宋_GB2312" w:hint="eastAsia"/>
                <w:sz w:val="26"/>
                <w:szCs w:val="26"/>
              </w:rPr>
              <w:t>区商务局</w:t>
            </w:r>
          </w:p>
          <w:p w:rsidR="00360586" w:rsidRPr="008B4DF2" w:rsidRDefault="00360586" w:rsidP="00B02453">
            <w:pPr>
              <w:adjustRightInd w:val="0"/>
              <w:snapToGrid w:val="0"/>
              <w:jc w:val="center"/>
              <w:rPr>
                <w:rFonts w:ascii="仿宋_GB2312" w:eastAsia="仿宋_GB2312" w:hAnsi="仿宋_GB2312" w:cs="仿宋_GB2312"/>
                <w:sz w:val="26"/>
                <w:szCs w:val="26"/>
              </w:rPr>
            </w:pPr>
            <w:r>
              <w:rPr>
                <w:rFonts w:ascii="仿宋_GB2312" w:eastAsia="仿宋_GB2312" w:hAnsi="仿宋_GB2312" w:cs="仿宋_GB2312" w:hint="eastAsia"/>
                <w:sz w:val="26"/>
                <w:szCs w:val="26"/>
              </w:rPr>
              <w:t>公安和平分局</w:t>
            </w:r>
          </w:p>
        </w:tc>
      </w:tr>
      <w:tr w:rsidR="00360586" w:rsidRPr="00B2510E" w:rsidTr="00013FEF">
        <w:trPr>
          <w:trHeight w:val="2051"/>
          <w:jc w:val="center"/>
        </w:trPr>
        <w:tc>
          <w:tcPr>
            <w:tcW w:w="1683" w:type="dxa"/>
            <w:vMerge w:val="restart"/>
            <w:vAlign w:val="center"/>
          </w:tcPr>
          <w:p w:rsidR="00360586" w:rsidRPr="00B2510E" w:rsidRDefault="00360586" w:rsidP="00B02453">
            <w:pPr>
              <w:adjustRightInd w:val="0"/>
              <w:snapToGrid w:val="0"/>
              <w:rPr>
                <w:rFonts w:ascii="仿宋_GB2312" w:eastAsia="仿宋_GB2312" w:hAnsiTheme="minorEastAsia" w:cstheme="minorEastAsia"/>
                <w:sz w:val="28"/>
                <w:szCs w:val="28"/>
              </w:rPr>
            </w:pPr>
            <w:r w:rsidRPr="00B2510E">
              <w:rPr>
                <w:rFonts w:eastAsia="黑体" w:cs="仿宋_GB2312" w:hint="eastAsia"/>
                <w:sz w:val="28"/>
                <w:szCs w:val="28"/>
              </w:rPr>
              <w:lastRenderedPageBreak/>
              <w:t>四、深入宣传引导，加大督导巡查</w:t>
            </w:r>
          </w:p>
        </w:tc>
        <w:tc>
          <w:tcPr>
            <w:tcW w:w="2769" w:type="dxa"/>
            <w:vAlign w:val="center"/>
          </w:tcPr>
          <w:p w:rsidR="00360586" w:rsidRPr="00B2510E" w:rsidRDefault="00360586" w:rsidP="00B02453">
            <w:pPr>
              <w:adjustRightInd w:val="0"/>
              <w:snapToGrid w:val="0"/>
              <w:rPr>
                <w:rFonts w:ascii="楷体_GB2312" w:eastAsia="楷体_GB2312" w:hAnsi="楷体_GB2312" w:cs="楷体_GB2312"/>
                <w:sz w:val="28"/>
                <w:szCs w:val="28"/>
              </w:rPr>
            </w:pPr>
            <w:r w:rsidRPr="00B2510E">
              <w:rPr>
                <w:rFonts w:ascii="楷体_GB2312" w:eastAsia="楷体_GB2312" w:hAnsi="楷体_GB2312" w:cs="楷体_GB2312" w:hint="eastAsia"/>
                <w:sz w:val="28"/>
                <w:szCs w:val="28"/>
              </w:rPr>
              <w:t>12.加大宣传教育力度</w:t>
            </w:r>
          </w:p>
        </w:tc>
        <w:tc>
          <w:tcPr>
            <w:tcW w:w="7453" w:type="dxa"/>
            <w:vAlign w:val="center"/>
          </w:tcPr>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（1）要根据当前的疫情特点，明确宣传重点和核心知识，加大个人防护、社交距离、旅行提示等重点内容宣教。</w:t>
            </w:r>
          </w:p>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（2）倡导科学、文明、健康的生活方式，有效提高群众卫生防病意识和能力。</w:t>
            </w:r>
          </w:p>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（3）要做好舆情信息监测，及时澄清不实传言，回应社会关切，维护社会稳定。</w:t>
            </w:r>
          </w:p>
        </w:tc>
        <w:tc>
          <w:tcPr>
            <w:tcW w:w="2239" w:type="dxa"/>
            <w:vAlign w:val="center"/>
          </w:tcPr>
          <w:p w:rsidR="00360586" w:rsidRPr="00493971" w:rsidRDefault="00360586" w:rsidP="00B02453">
            <w:pPr>
              <w:adjustRightInd w:val="0"/>
              <w:snapToGrid w:val="0"/>
              <w:jc w:val="center"/>
              <w:rPr>
                <w:rFonts w:ascii="仿宋_GB2312" w:eastAsia="仿宋_GB2312" w:hAnsi="仿宋_GB2312" w:cs="仿宋_GB2312"/>
                <w:sz w:val="26"/>
                <w:szCs w:val="26"/>
              </w:rPr>
            </w:pPr>
            <w:r w:rsidRPr="00493971">
              <w:rPr>
                <w:rFonts w:ascii="仿宋_GB2312" w:eastAsia="仿宋_GB2312" w:hAnsi="仿宋_GB2312" w:cs="仿宋_GB2312" w:hint="eastAsia"/>
                <w:sz w:val="26"/>
                <w:szCs w:val="26"/>
              </w:rPr>
              <w:t>区委宣传部</w:t>
            </w:r>
          </w:p>
        </w:tc>
        <w:tc>
          <w:tcPr>
            <w:tcW w:w="2077" w:type="dxa"/>
            <w:vAlign w:val="center"/>
          </w:tcPr>
          <w:p w:rsidR="00360586" w:rsidRDefault="00360586" w:rsidP="00B02453">
            <w:pPr>
              <w:adjustRightInd w:val="0"/>
              <w:snapToGrid w:val="0"/>
              <w:jc w:val="center"/>
              <w:rPr>
                <w:rFonts w:ascii="仿宋_GB2312" w:eastAsia="仿宋_GB2312" w:hAnsi="仿宋_GB2312" w:cs="仿宋_GB2312"/>
                <w:sz w:val="26"/>
                <w:szCs w:val="26"/>
              </w:rPr>
            </w:pPr>
            <w:proofErr w:type="gramStart"/>
            <w:r>
              <w:rPr>
                <w:rFonts w:ascii="仿宋_GB2312" w:eastAsia="仿宋_GB2312" w:hAnsi="仿宋_GB2312" w:cs="仿宋_GB2312" w:hint="eastAsia"/>
                <w:sz w:val="26"/>
                <w:szCs w:val="26"/>
              </w:rPr>
              <w:t>区委网信办</w:t>
            </w:r>
            <w:proofErr w:type="gramEnd"/>
          </w:p>
          <w:p w:rsidR="005C4693" w:rsidRDefault="005C4693" w:rsidP="00B02453">
            <w:pPr>
              <w:adjustRightInd w:val="0"/>
              <w:snapToGrid w:val="0"/>
              <w:jc w:val="center"/>
              <w:rPr>
                <w:rFonts w:ascii="仿宋_GB2312" w:eastAsia="仿宋_GB2312" w:hAnsi="仿宋_GB2312" w:cs="仿宋_GB2312"/>
                <w:sz w:val="26"/>
                <w:szCs w:val="26"/>
              </w:rPr>
            </w:pPr>
            <w:proofErr w:type="gramStart"/>
            <w:r>
              <w:rPr>
                <w:rFonts w:ascii="仿宋_GB2312" w:eastAsia="仿宋_GB2312" w:hAnsi="仿宋_GB2312" w:cs="仿宋_GB2312" w:hint="eastAsia"/>
                <w:sz w:val="26"/>
                <w:szCs w:val="26"/>
              </w:rPr>
              <w:t>区融媒体</w:t>
            </w:r>
            <w:proofErr w:type="gramEnd"/>
            <w:r>
              <w:rPr>
                <w:rFonts w:ascii="仿宋_GB2312" w:eastAsia="仿宋_GB2312" w:hAnsi="仿宋_GB2312" w:cs="仿宋_GB2312" w:hint="eastAsia"/>
                <w:sz w:val="26"/>
                <w:szCs w:val="26"/>
              </w:rPr>
              <w:t>中心</w:t>
            </w:r>
          </w:p>
          <w:p w:rsidR="00360586" w:rsidRPr="00493971" w:rsidRDefault="00360586" w:rsidP="00B02453">
            <w:pPr>
              <w:adjustRightInd w:val="0"/>
              <w:snapToGrid w:val="0"/>
              <w:jc w:val="center"/>
              <w:rPr>
                <w:rFonts w:ascii="仿宋_GB2312" w:eastAsia="仿宋_GB2312" w:hAnsi="仿宋_GB2312" w:cs="仿宋_GB2312"/>
                <w:sz w:val="26"/>
                <w:szCs w:val="26"/>
              </w:rPr>
            </w:pPr>
            <w:r>
              <w:rPr>
                <w:rFonts w:ascii="仿宋_GB2312" w:eastAsia="仿宋_GB2312" w:hAnsi="仿宋_GB2312" w:cs="仿宋_GB2312" w:hint="eastAsia"/>
                <w:sz w:val="26"/>
                <w:szCs w:val="26"/>
              </w:rPr>
              <w:t>各街道办事处</w:t>
            </w:r>
          </w:p>
        </w:tc>
      </w:tr>
      <w:tr w:rsidR="00360586" w:rsidRPr="00B2510E" w:rsidTr="00013FEF">
        <w:trPr>
          <w:trHeight w:val="1195"/>
          <w:jc w:val="center"/>
        </w:trPr>
        <w:tc>
          <w:tcPr>
            <w:tcW w:w="1683" w:type="dxa"/>
            <w:vMerge/>
            <w:vAlign w:val="center"/>
          </w:tcPr>
          <w:p w:rsidR="00360586" w:rsidRPr="00B2510E" w:rsidRDefault="00360586" w:rsidP="00B02453">
            <w:pPr>
              <w:adjustRightInd w:val="0"/>
              <w:snapToGrid w:val="0"/>
              <w:rPr>
                <w:rFonts w:ascii="仿宋_GB2312" w:eastAsia="仿宋_GB2312" w:hAnsiTheme="minorEastAsia" w:cstheme="minorEastAsia"/>
                <w:sz w:val="28"/>
                <w:szCs w:val="28"/>
              </w:rPr>
            </w:pPr>
          </w:p>
        </w:tc>
        <w:tc>
          <w:tcPr>
            <w:tcW w:w="2769" w:type="dxa"/>
            <w:vAlign w:val="center"/>
          </w:tcPr>
          <w:p w:rsidR="00360586" w:rsidRPr="00B2510E" w:rsidRDefault="00360586" w:rsidP="00B02453">
            <w:pPr>
              <w:adjustRightInd w:val="0"/>
              <w:snapToGrid w:val="0"/>
              <w:rPr>
                <w:rFonts w:ascii="楷体_GB2312" w:eastAsia="楷体_GB2312" w:hAnsi="楷体_GB2312" w:cs="楷体_GB2312"/>
                <w:sz w:val="28"/>
                <w:szCs w:val="28"/>
              </w:rPr>
            </w:pPr>
            <w:r w:rsidRPr="00B2510E">
              <w:rPr>
                <w:rFonts w:ascii="楷体_GB2312" w:eastAsia="楷体_GB2312" w:hAnsi="楷体_GB2312" w:cs="楷体_GB2312" w:hint="eastAsia"/>
                <w:sz w:val="28"/>
                <w:szCs w:val="28"/>
              </w:rPr>
              <w:t>13.开展爱国卫生运动</w:t>
            </w:r>
          </w:p>
        </w:tc>
        <w:tc>
          <w:tcPr>
            <w:tcW w:w="7453" w:type="dxa"/>
            <w:vAlign w:val="center"/>
          </w:tcPr>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（1）各部门各单位要广泛深入开展环境大整治活动。</w:t>
            </w:r>
          </w:p>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（2）重点消除卫生死角，大力开展“厕所革命”，清除“四害”，杜绝病媒生物孳生。</w:t>
            </w:r>
          </w:p>
        </w:tc>
        <w:tc>
          <w:tcPr>
            <w:tcW w:w="2239" w:type="dxa"/>
            <w:vAlign w:val="center"/>
          </w:tcPr>
          <w:p w:rsidR="00360586" w:rsidRPr="00493971" w:rsidRDefault="00360586" w:rsidP="00B02453">
            <w:pPr>
              <w:adjustRightInd w:val="0"/>
              <w:snapToGrid w:val="0"/>
              <w:jc w:val="center"/>
              <w:rPr>
                <w:rFonts w:ascii="仿宋_GB2312" w:eastAsia="仿宋_GB2312" w:hAnsi="仿宋_GB2312" w:cs="仿宋_GB2312"/>
                <w:sz w:val="26"/>
                <w:szCs w:val="26"/>
              </w:rPr>
            </w:pPr>
            <w:r w:rsidRPr="00493971">
              <w:rPr>
                <w:rFonts w:ascii="仿宋_GB2312" w:eastAsia="仿宋_GB2312" w:hAnsi="仿宋_GB2312" w:cs="仿宋_GB2312" w:hint="eastAsia"/>
                <w:sz w:val="26"/>
                <w:szCs w:val="26"/>
              </w:rPr>
              <w:t>区爱卫办</w:t>
            </w:r>
          </w:p>
        </w:tc>
        <w:tc>
          <w:tcPr>
            <w:tcW w:w="2077" w:type="dxa"/>
            <w:vAlign w:val="center"/>
          </w:tcPr>
          <w:p w:rsidR="00360586" w:rsidRPr="00493971" w:rsidRDefault="00360586" w:rsidP="00B02453">
            <w:pPr>
              <w:adjustRightInd w:val="0"/>
              <w:snapToGrid w:val="0"/>
              <w:jc w:val="center"/>
              <w:rPr>
                <w:rFonts w:ascii="仿宋_GB2312" w:eastAsia="仿宋_GB2312" w:hAnsi="仿宋_GB2312" w:cs="仿宋_GB2312"/>
                <w:sz w:val="26"/>
                <w:szCs w:val="26"/>
              </w:rPr>
            </w:pPr>
            <w:r>
              <w:rPr>
                <w:rFonts w:ascii="仿宋_GB2312" w:eastAsia="仿宋_GB2312" w:hAnsi="仿宋_GB2312" w:cs="仿宋_GB2312" w:hint="eastAsia"/>
                <w:sz w:val="26"/>
                <w:szCs w:val="26"/>
              </w:rPr>
              <w:t>区爱卫会成员单位</w:t>
            </w:r>
          </w:p>
        </w:tc>
      </w:tr>
      <w:tr w:rsidR="00360586" w:rsidRPr="00B2510E" w:rsidTr="00013FEF">
        <w:trPr>
          <w:trHeight w:val="2051"/>
          <w:jc w:val="center"/>
        </w:trPr>
        <w:tc>
          <w:tcPr>
            <w:tcW w:w="1683" w:type="dxa"/>
            <w:vMerge/>
            <w:vAlign w:val="center"/>
          </w:tcPr>
          <w:p w:rsidR="00360586" w:rsidRPr="00B2510E" w:rsidRDefault="00360586" w:rsidP="00B02453">
            <w:pPr>
              <w:adjustRightInd w:val="0"/>
              <w:snapToGrid w:val="0"/>
              <w:rPr>
                <w:rFonts w:ascii="仿宋_GB2312" w:eastAsia="仿宋_GB2312" w:hAnsiTheme="minorEastAsia" w:cstheme="minorEastAsia"/>
                <w:sz w:val="28"/>
                <w:szCs w:val="28"/>
              </w:rPr>
            </w:pPr>
          </w:p>
        </w:tc>
        <w:tc>
          <w:tcPr>
            <w:tcW w:w="2769" w:type="dxa"/>
            <w:vAlign w:val="center"/>
          </w:tcPr>
          <w:p w:rsidR="00360586" w:rsidRPr="00B2510E" w:rsidRDefault="00360586" w:rsidP="00B02453">
            <w:pPr>
              <w:adjustRightInd w:val="0"/>
              <w:snapToGrid w:val="0"/>
              <w:rPr>
                <w:rFonts w:ascii="楷体_GB2312" w:eastAsia="楷体_GB2312" w:hAnsi="楷体_GB2312" w:cs="楷体_GB2312"/>
                <w:sz w:val="28"/>
                <w:szCs w:val="28"/>
              </w:rPr>
            </w:pPr>
            <w:r w:rsidRPr="00B2510E">
              <w:rPr>
                <w:rFonts w:ascii="楷体_GB2312" w:eastAsia="楷体_GB2312" w:hAnsi="楷体_GB2312" w:cs="楷体_GB2312" w:hint="eastAsia"/>
                <w:sz w:val="28"/>
                <w:szCs w:val="28"/>
              </w:rPr>
              <w:t>14.全面规范督导检查</w:t>
            </w:r>
          </w:p>
        </w:tc>
        <w:tc>
          <w:tcPr>
            <w:tcW w:w="7453" w:type="dxa"/>
            <w:vAlign w:val="center"/>
          </w:tcPr>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（1）要加强公共场所、设备设施、游览安全等重点区域或环节全面排查，确保安全开放、安全游览、安全服务。</w:t>
            </w:r>
          </w:p>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（2）行业主管部门要组织开展演练并加强监督检查。</w:t>
            </w:r>
          </w:p>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（3）要及时开展专项督查，排查控制潜在风险，注重防控效果的评估。</w:t>
            </w:r>
          </w:p>
          <w:p w:rsidR="00360586" w:rsidRPr="00401F6C" w:rsidRDefault="00360586" w:rsidP="00B02453">
            <w:pPr>
              <w:adjustRightInd w:val="0"/>
              <w:snapToGrid w:val="0"/>
              <w:jc w:val="left"/>
              <w:rPr>
                <w:rFonts w:ascii="仿宋_GB2312" w:eastAsia="仿宋_GB2312" w:hAnsi="仿宋_GB2312" w:cs="仿宋_GB2312"/>
                <w:sz w:val="26"/>
                <w:szCs w:val="26"/>
              </w:rPr>
            </w:pPr>
            <w:r w:rsidRPr="00401F6C">
              <w:rPr>
                <w:rFonts w:ascii="仿宋_GB2312" w:eastAsia="仿宋_GB2312" w:hAnsi="仿宋_GB2312" w:cs="仿宋_GB2312" w:hint="eastAsia"/>
                <w:sz w:val="26"/>
                <w:szCs w:val="26"/>
              </w:rPr>
              <w:t>（4）对工作中的薄弱环节、重点难点问题及群众反映强烈的问题要及时整改，确保各项防控措施落到实处、取得实效。</w:t>
            </w:r>
          </w:p>
        </w:tc>
        <w:tc>
          <w:tcPr>
            <w:tcW w:w="2239" w:type="dxa"/>
            <w:vAlign w:val="center"/>
          </w:tcPr>
          <w:p w:rsidR="00360586" w:rsidRDefault="00360586" w:rsidP="00B02453">
            <w:pPr>
              <w:adjustRightInd w:val="0"/>
              <w:snapToGrid w:val="0"/>
              <w:jc w:val="center"/>
              <w:rPr>
                <w:rFonts w:ascii="仿宋_GB2312" w:eastAsia="仿宋_GB2312" w:hAnsi="仿宋_GB2312" w:cs="仿宋_GB2312"/>
                <w:sz w:val="26"/>
                <w:szCs w:val="26"/>
              </w:rPr>
            </w:pPr>
            <w:r w:rsidRPr="009C7A4D">
              <w:rPr>
                <w:rFonts w:ascii="仿宋_GB2312" w:eastAsia="仿宋_GB2312" w:hAnsi="仿宋_GB2312" w:cs="仿宋_GB2312" w:hint="eastAsia"/>
                <w:sz w:val="26"/>
                <w:szCs w:val="26"/>
              </w:rPr>
              <w:t>区委督查室</w:t>
            </w:r>
          </w:p>
          <w:p w:rsidR="005C4693" w:rsidRDefault="005C4693" w:rsidP="005C4693">
            <w:pPr>
              <w:adjustRightInd w:val="0"/>
              <w:snapToGrid w:val="0"/>
              <w:jc w:val="center"/>
              <w:rPr>
                <w:rFonts w:ascii="仿宋_GB2312" w:eastAsia="仿宋_GB2312" w:hAnsi="仿宋_GB2312" w:cs="仿宋_GB2312"/>
                <w:sz w:val="26"/>
                <w:szCs w:val="26"/>
              </w:rPr>
            </w:pPr>
            <w:r>
              <w:rPr>
                <w:rFonts w:ascii="仿宋_GB2312" w:eastAsia="仿宋_GB2312" w:hAnsi="仿宋_GB2312" w:cs="仿宋_GB2312" w:hint="eastAsia"/>
                <w:sz w:val="26"/>
                <w:szCs w:val="26"/>
              </w:rPr>
              <w:t>区委“两不”办</w:t>
            </w:r>
          </w:p>
          <w:p w:rsidR="00360586" w:rsidRPr="009C7A4D" w:rsidRDefault="00360586" w:rsidP="00B02453">
            <w:pPr>
              <w:adjustRightInd w:val="0"/>
              <w:snapToGrid w:val="0"/>
              <w:jc w:val="center"/>
              <w:rPr>
                <w:rFonts w:ascii="仿宋_GB2312" w:eastAsia="仿宋_GB2312" w:hAnsi="仿宋_GB2312" w:cs="仿宋_GB2312"/>
                <w:sz w:val="26"/>
                <w:szCs w:val="26"/>
              </w:rPr>
            </w:pPr>
            <w:r>
              <w:rPr>
                <w:rFonts w:ascii="仿宋_GB2312" w:eastAsia="仿宋_GB2312" w:hAnsi="仿宋_GB2312" w:cs="仿宋_GB2312" w:hint="eastAsia"/>
                <w:sz w:val="26"/>
                <w:szCs w:val="26"/>
              </w:rPr>
              <w:t>区</w:t>
            </w:r>
            <w:proofErr w:type="gramStart"/>
            <w:r>
              <w:rPr>
                <w:rFonts w:ascii="仿宋_GB2312" w:eastAsia="仿宋_GB2312" w:hAnsi="仿宋_GB2312" w:cs="仿宋_GB2312" w:hint="eastAsia"/>
                <w:sz w:val="26"/>
                <w:szCs w:val="26"/>
              </w:rPr>
              <w:t>应急局</w:t>
            </w:r>
            <w:proofErr w:type="gramEnd"/>
          </w:p>
        </w:tc>
        <w:tc>
          <w:tcPr>
            <w:tcW w:w="2077" w:type="dxa"/>
            <w:vAlign w:val="center"/>
          </w:tcPr>
          <w:p w:rsidR="00360586" w:rsidRPr="009C7A4D" w:rsidRDefault="00360586" w:rsidP="00B02453">
            <w:pPr>
              <w:adjustRightInd w:val="0"/>
              <w:snapToGrid w:val="0"/>
              <w:jc w:val="center"/>
              <w:rPr>
                <w:rFonts w:ascii="仿宋_GB2312" w:eastAsia="仿宋_GB2312" w:hAnsi="仿宋_GB2312" w:cs="仿宋_GB2312"/>
                <w:sz w:val="26"/>
                <w:szCs w:val="26"/>
              </w:rPr>
            </w:pPr>
            <w:r>
              <w:rPr>
                <w:rFonts w:ascii="仿宋_GB2312" w:eastAsia="仿宋_GB2312" w:hAnsi="仿宋_GB2312" w:cs="仿宋_GB2312" w:hint="eastAsia"/>
                <w:sz w:val="26"/>
                <w:szCs w:val="26"/>
              </w:rPr>
              <w:t>各行业主管部门</w:t>
            </w:r>
          </w:p>
        </w:tc>
      </w:tr>
    </w:tbl>
    <w:p w:rsidR="00360586" w:rsidRDefault="00360586" w:rsidP="00360586">
      <w:pPr>
        <w:rPr>
          <w:rFonts w:asciiTheme="minorEastAsia" w:hAnsiTheme="minorEastAsia" w:cstheme="minorEastAsia"/>
          <w:kern w:val="0"/>
          <w:szCs w:val="21"/>
        </w:rPr>
      </w:pPr>
    </w:p>
    <w:p w:rsidR="00B50EAD" w:rsidRPr="00360586" w:rsidRDefault="00B50EAD"/>
    <w:sectPr w:rsidR="00B50EAD" w:rsidRPr="00360586" w:rsidSect="00013FEF">
      <w:pgSz w:w="16838" w:h="11906" w:orient="landscape"/>
      <w:pgMar w:top="1701" w:right="1559" w:bottom="1701" w:left="1559"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0586"/>
    <w:rsid w:val="00013FEF"/>
    <w:rsid w:val="000A15FD"/>
    <w:rsid w:val="00360586"/>
    <w:rsid w:val="003D3919"/>
    <w:rsid w:val="0046335D"/>
    <w:rsid w:val="0049151B"/>
    <w:rsid w:val="005C019B"/>
    <w:rsid w:val="005C4693"/>
    <w:rsid w:val="008D4200"/>
    <w:rsid w:val="00B50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8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36058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8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36058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346</Words>
  <Characters>1973</Characters>
  <Application>Microsoft Office Word</Application>
  <DocSecurity>0</DocSecurity>
  <Lines>16</Lines>
  <Paragraphs>4</Paragraphs>
  <ScaleCrop>false</ScaleCrop>
  <Company>Microsoft</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2020-04-27T10:31:00Z</dcterms:created>
  <dcterms:modified xsi:type="dcterms:W3CDTF">2020-04-28T10:51:00Z</dcterms:modified>
</cp:coreProperties>
</file>